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7755EB">
      <w:pPr>
        <w:tabs>
          <w:tab w:val="left" w:pos="2150"/>
        </w:tabs>
        <w:snapToGrid w:val="0"/>
        <w:ind w:left="1928" w:firstLine="1928"/>
        <w:rPr>
          <w:rFonts w:ascii="宋体" w:hAnsi="宋体" w:eastAsia="宋体"/>
          <w:b/>
          <w:color w:val="000000"/>
          <w:sz w:val="96"/>
          <w:szCs w:val="96"/>
        </w:rPr>
      </w:pPr>
    </w:p>
    <w:p w14:paraId="7C074698">
      <w:pPr>
        <w:pStyle w:val="15"/>
        <w:spacing w:line="360" w:lineRule="auto"/>
        <w:ind w:left="1807" w:hanging="1800" w:hangingChars="500"/>
        <w:jc w:val="center"/>
        <w:rPr>
          <w:rFonts w:ascii="宋体" w:hAnsi="宋体" w:eastAsia="宋体"/>
          <w:b/>
          <w:bCs/>
          <w:sz w:val="36"/>
          <w:szCs w:val="56"/>
        </w:rPr>
      </w:pPr>
      <w:r>
        <w:rPr>
          <w:rFonts w:hint="eastAsia" w:ascii="宋体" w:hAnsi="宋体" w:eastAsia="宋体"/>
          <w:b/>
          <w:bCs/>
          <w:sz w:val="36"/>
          <w:szCs w:val="56"/>
        </w:rPr>
        <w:t>四川省成都市财贸职业高级中学校</w:t>
      </w:r>
    </w:p>
    <w:p w14:paraId="05718C9F">
      <w:pPr>
        <w:ind w:left="0" w:leftChars="0" w:firstLine="0" w:firstLineChars="0"/>
        <w:jc w:val="center"/>
        <w:rPr>
          <w:rFonts w:ascii="宋体" w:hAnsi="宋体" w:eastAsia="宋体"/>
          <w:b/>
          <w:bCs/>
          <w:w w:val="90"/>
          <w:sz w:val="52"/>
          <w:szCs w:val="60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直饮水机维保服务项目</w:t>
      </w:r>
    </w:p>
    <w:p w14:paraId="3C769486">
      <w:pPr>
        <w:tabs>
          <w:tab w:val="left" w:pos="2150"/>
        </w:tabs>
        <w:snapToGrid w:val="0"/>
        <w:ind w:left="562" w:firstLine="562"/>
        <w:rPr>
          <w:rFonts w:ascii="宋体" w:hAnsi="宋体" w:eastAsia="宋体"/>
          <w:b/>
          <w:bCs/>
          <w:sz w:val="28"/>
          <w:szCs w:val="28"/>
        </w:rPr>
      </w:pPr>
    </w:p>
    <w:p w14:paraId="6F80DFDA">
      <w:pPr>
        <w:widowControl/>
        <w:spacing w:after="75" w:line="384" w:lineRule="auto"/>
        <w:jc w:val="both"/>
        <w:rPr>
          <w:rFonts w:ascii="宋体" w:hAnsi="宋体" w:eastAsia="宋体"/>
          <w:b/>
          <w:bCs/>
          <w:sz w:val="48"/>
          <w:szCs w:val="48"/>
        </w:rPr>
      </w:pPr>
    </w:p>
    <w:p w14:paraId="05DA63BA">
      <w:pPr>
        <w:tabs>
          <w:tab w:val="left" w:pos="2150"/>
        </w:tabs>
        <w:snapToGrid w:val="0"/>
        <w:ind w:left="1446" w:firstLine="1446"/>
        <w:rPr>
          <w:rFonts w:ascii="宋体" w:hAnsi="宋体" w:eastAsia="宋体"/>
          <w:b/>
          <w:sz w:val="72"/>
          <w:szCs w:val="72"/>
        </w:rPr>
      </w:pPr>
    </w:p>
    <w:p w14:paraId="0BBD171A">
      <w:pPr>
        <w:tabs>
          <w:tab w:val="left" w:pos="2150"/>
        </w:tabs>
        <w:snapToGrid w:val="0"/>
        <w:jc w:val="center"/>
        <w:rPr>
          <w:rFonts w:ascii="宋体" w:hAnsi="宋体" w:eastAsia="宋体"/>
          <w:b/>
          <w:sz w:val="72"/>
          <w:szCs w:val="72"/>
        </w:rPr>
      </w:pPr>
      <w:r>
        <w:rPr>
          <w:rFonts w:hint="eastAsia" w:ascii="宋体" w:hAnsi="宋体" w:eastAsia="宋体"/>
          <w:b/>
          <w:sz w:val="72"/>
          <w:szCs w:val="72"/>
        </w:rPr>
        <w:t>比</w:t>
      </w:r>
    </w:p>
    <w:p w14:paraId="44434E93">
      <w:pPr>
        <w:tabs>
          <w:tab w:val="left" w:pos="2150"/>
        </w:tabs>
        <w:snapToGrid w:val="0"/>
        <w:jc w:val="center"/>
        <w:rPr>
          <w:rFonts w:ascii="宋体" w:hAnsi="宋体" w:eastAsia="宋体"/>
          <w:b/>
          <w:sz w:val="72"/>
          <w:szCs w:val="72"/>
        </w:rPr>
      </w:pPr>
      <w:r>
        <w:rPr>
          <w:rFonts w:hint="eastAsia" w:ascii="宋体" w:hAnsi="宋体" w:eastAsia="宋体"/>
          <w:b/>
          <w:sz w:val="72"/>
          <w:szCs w:val="72"/>
        </w:rPr>
        <w:t>选</w:t>
      </w:r>
    </w:p>
    <w:p w14:paraId="6A34BDA7">
      <w:pPr>
        <w:tabs>
          <w:tab w:val="left" w:pos="2150"/>
        </w:tabs>
        <w:snapToGrid w:val="0"/>
        <w:jc w:val="center"/>
        <w:rPr>
          <w:rFonts w:ascii="宋体" w:hAnsi="宋体" w:eastAsia="宋体"/>
          <w:b/>
          <w:sz w:val="72"/>
          <w:szCs w:val="72"/>
        </w:rPr>
      </w:pPr>
      <w:r>
        <w:rPr>
          <w:rFonts w:hint="eastAsia" w:ascii="宋体" w:hAnsi="宋体" w:eastAsia="宋体"/>
          <w:b/>
          <w:sz w:val="72"/>
          <w:szCs w:val="72"/>
        </w:rPr>
        <w:t>文</w:t>
      </w:r>
    </w:p>
    <w:p w14:paraId="43DD8600">
      <w:pPr>
        <w:tabs>
          <w:tab w:val="left" w:pos="2150"/>
        </w:tabs>
        <w:snapToGrid w:val="0"/>
        <w:jc w:val="center"/>
        <w:rPr>
          <w:rFonts w:ascii="宋体" w:hAnsi="宋体" w:eastAsia="宋体"/>
          <w:b/>
          <w:sz w:val="72"/>
          <w:szCs w:val="72"/>
        </w:rPr>
      </w:pPr>
      <w:r>
        <w:rPr>
          <w:rFonts w:hint="eastAsia" w:ascii="宋体" w:hAnsi="宋体" w:eastAsia="宋体"/>
          <w:b/>
          <w:sz w:val="72"/>
          <w:szCs w:val="72"/>
        </w:rPr>
        <w:t>件</w:t>
      </w:r>
    </w:p>
    <w:p w14:paraId="740B05D5">
      <w:pPr>
        <w:tabs>
          <w:tab w:val="left" w:pos="2150"/>
        </w:tabs>
        <w:snapToGrid w:val="0"/>
        <w:jc w:val="center"/>
        <w:rPr>
          <w:rFonts w:ascii="宋体" w:hAnsi="宋体" w:eastAsia="宋体"/>
          <w:b/>
          <w:sz w:val="36"/>
          <w:szCs w:val="36"/>
        </w:rPr>
      </w:pPr>
    </w:p>
    <w:p w14:paraId="29413316">
      <w:pPr>
        <w:tabs>
          <w:tab w:val="left" w:pos="2150"/>
        </w:tabs>
        <w:snapToGrid w:val="0"/>
        <w:ind w:left="602" w:firstLine="602"/>
        <w:jc w:val="center"/>
        <w:rPr>
          <w:rFonts w:ascii="宋体" w:hAnsi="宋体" w:eastAsia="宋体"/>
          <w:b/>
          <w:sz w:val="30"/>
          <w:szCs w:val="30"/>
        </w:rPr>
      </w:pPr>
    </w:p>
    <w:p w14:paraId="44127482">
      <w:pPr>
        <w:tabs>
          <w:tab w:val="left" w:pos="2150"/>
        </w:tabs>
        <w:snapToGrid w:val="0"/>
        <w:ind w:left="60" w:firstLine="60"/>
        <w:jc w:val="center"/>
        <w:rPr>
          <w:rFonts w:ascii="宋体" w:hAnsi="宋体" w:eastAsia="宋体"/>
          <w:sz w:val="3"/>
          <w:szCs w:val="21"/>
        </w:rPr>
      </w:pPr>
    </w:p>
    <w:p w14:paraId="3A7944EF">
      <w:pPr>
        <w:spacing w:line="360" w:lineRule="auto"/>
        <w:ind w:left="602" w:firstLine="602"/>
        <w:jc w:val="center"/>
        <w:rPr>
          <w:rFonts w:ascii="宋体" w:hAnsi="宋体" w:eastAsia="宋体"/>
          <w:b/>
          <w:color w:val="000000"/>
          <w:sz w:val="30"/>
          <w:szCs w:val="30"/>
        </w:rPr>
      </w:pPr>
    </w:p>
    <w:p w14:paraId="3E5603EC">
      <w:pPr>
        <w:spacing w:line="360" w:lineRule="auto"/>
        <w:ind w:left="602" w:firstLine="602"/>
        <w:jc w:val="center"/>
        <w:rPr>
          <w:rFonts w:ascii="宋体" w:hAnsi="宋体" w:eastAsia="宋体"/>
          <w:b/>
          <w:color w:val="000000"/>
          <w:sz w:val="30"/>
          <w:szCs w:val="30"/>
        </w:rPr>
      </w:pPr>
    </w:p>
    <w:p w14:paraId="48B6C6A2">
      <w:pPr>
        <w:spacing w:line="360" w:lineRule="auto"/>
        <w:jc w:val="center"/>
        <w:rPr>
          <w:rFonts w:ascii="宋体" w:hAnsi="宋体" w:eastAsia="宋体"/>
          <w:b/>
          <w:color w:val="000000"/>
          <w:sz w:val="32"/>
          <w:szCs w:val="32"/>
        </w:rPr>
      </w:pPr>
      <w:r>
        <w:rPr>
          <w:rFonts w:hint="eastAsia" w:ascii="宋体" w:hAnsi="宋体" w:eastAsia="宋体"/>
          <w:b/>
          <w:color w:val="000000"/>
          <w:sz w:val="30"/>
          <w:szCs w:val="30"/>
        </w:rPr>
        <w:t>四川省成都市财贸职业高级中学校</w:t>
      </w:r>
      <w:r>
        <w:rPr>
          <w:rFonts w:hint="eastAsia" w:ascii="宋体" w:hAnsi="宋体" w:eastAsia="宋体"/>
          <w:b/>
          <w:color w:val="000000"/>
          <w:sz w:val="32"/>
          <w:szCs w:val="32"/>
        </w:rPr>
        <w:t>印制</w:t>
      </w:r>
    </w:p>
    <w:p w14:paraId="429C3A72">
      <w:pPr>
        <w:pStyle w:val="6"/>
        <w:jc w:val="center"/>
        <w:rPr>
          <w:rFonts w:ascii="宋体" w:hAnsi="宋体" w:eastAsia="宋体"/>
          <w:color w:val="000000"/>
          <w:sz w:val="30"/>
          <w:szCs w:val="30"/>
        </w:rPr>
      </w:pPr>
      <w:r>
        <w:rPr>
          <w:rFonts w:hint="eastAsia" w:ascii="宋体" w:hAnsi="宋体" w:eastAsia="宋体"/>
          <w:color w:val="000000"/>
          <w:sz w:val="30"/>
          <w:szCs w:val="30"/>
        </w:rPr>
        <w:t>二〇二</w:t>
      </w:r>
      <w:r>
        <w:rPr>
          <w:rFonts w:hint="eastAsia" w:hAnsi="宋体"/>
          <w:color w:val="000000"/>
          <w:sz w:val="30"/>
          <w:szCs w:val="30"/>
          <w:lang w:val="en-US" w:eastAsia="zh-CN"/>
        </w:rPr>
        <w:t>五</w:t>
      </w:r>
      <w:r>
        <w:rPr>
          <w:rFonts w:hint="eastAsia" w:ascii="宋体" w:hAnsi="宋体" w:eastAsia="宋体"/>
          <w:color w:val="000000"/>
          <w:sz w:val="30"/>
          <w:szCs w:val="30"/>
        </w:rPr>
        <w:t>年</w:t>
      </w:r>
      <w:r>
        <w:rPr>
          <w:rFonts w:hint="eastAsia" w:hAnsi="宋体"/>
          <w:color w:val="000000"/>
          <w:sz w:val="30"/>
          <w:szCs w:val="30"/>
          <w:lang w:val="en-US" w:eastAsia="zh-CN"/>
        </w:rPr>
        <w:t>十一</w:t>
      </w:r>
      <w:r>
        <w:rPr>
          <w:rFonts w:hint="eastAsia" w:ascii="宋体" w:hAnsi="宋体" w:eastAsia="宋体"/>
          <w:color w:val="000000"/>
          <w:sz w:val="30"/>
          <w:szCs w:val="30"/>
        </w:rPr>
        <w:t>月</w:t>
      </w:r>
    </w:p>
    <w:p w14:paraId="3D9F9E17">
      <w:pPr>
        <w:widowControl/>
        <w:ind w:left="600" w:firstLine="600"/>
        <w:jc w:val="left"/>
        <w:rPr>
          <w:rFonts w:ascii="宋体" w:hAnsi="宋体" w:eastAsia="宋体"/>
          <w:color w:val="000000"/>
          <w:sz w:val="30"/>
          <w:szCs w:val="30"/>
        </w:rPr>
      </w:pPr>
      <w:r>
        <w:rPr>
          <w:rFonts w:ascii="宋体" w:hAnsi="宋体" w:eastAsia="宋体"/>
          <w:color w:val="000000"/>
          <w:sz w:val="30"/>
          <w:szCs w:val="30"/>
        </w:rPr>
        <w:br w:type="page"/>
      </w:r>
    </w:p>
    <w:p w14:paraId="36CBAC2B">
      <w:pPr>
        <w:pStyle w:val="6"/>
        <w:jc w:val="center"/>
        <w:rPr>
          <w:rFonts w:ascii="宋体" w:hAnsi="宋体" w:eastAsia="宋体"/>
          <w:b/>
          <w:bCs/>
          <w:kern w:val="4"/>
          <w:sz w:val="40"/>
          <w:szCs w:val="36"/>
        </w:rPr>
      </w:pPr>
      <w:r>
        <w:rPr>
          <w:rFonts w:ascii="宋体" w:hAnsi="宋体" w:eastAsia="宋体"/>
          <w:b/>
          <w:bCs/>
          <w:kern w:val="4"/>
          <w:sz w:val="40"/>
          <w:szCs w:val="36"/>
        </w:rPr>
        <w:t>比选邀请</w:t>
      </w:r>
    </w:p>
    <w:p w14:paraId="7765EE15">
      <w:pPr>
        <w:ind w:firstLine="292" w:firstLineChars="100"/>
        <w:jc w:val="left"/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</w:rPr>
      </w:pP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</w:rPr>
        <w:t>四川省成都市财</w:t>
      </w:r>
      <w:r>
        <w:rPr>
          <w:rFonts w:hint="eastAsia" w:ascii="宋体" w:hAnsi="宋体" w:eastAsia="宋体"/>
          <w:sz w:val="28"/>
          <w:szCs w:val="28"/>
        </w:rPr>
        <w:t>贸</w:t>
      </w: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</w:rPr>
        <w:t>职业高级中学校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（以下简称我校）</w:t>
      </w:r>
      <w:r>
        <w:rPr>
          <w:rFonts w:hint="eastAsia" w:ascii="宋体" w:hAnsi="宋体"/>
          <w:color w:val="000000"/>
          <w:spacing w:val="6"/>
          <w:kern w:val="48"/>
          <w:sz w:val="28"/>
          <w:szCs w:val="28"/>
          <w:lang w:val="en-US" w:eastAsia="zh-CN"/>
        </w:rPr>
        <w:t>拟开展“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直饮水机维保服务项目</w:t>
      </w:r>
      <w:r>
        <w:rPr>
          <w:rFonts w:hint="eastAsia" w:ascii="宋体" w:hAnsi="宋体"/>
          <w:color w:val="000000"/>
          <w:spacing w:val="6"/>
          <w:kern w:val="48"/>
          <w:sz w:val="28"/>
          <w:szCs w:val="28"/>
          <w:lang w:val="en-US" w:eastAsia="zh-CN"/>
        </w:rPr>
        <w:t>”活动，根据项目需求拟邀请第三方机构参与项目建设</w:t>
      </w: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</w:rPr>
        <w:t>，现将有关事项告知如下：</w:t>
      </w:r>
    </w:p>
    <w:p w14:paraId="750C7E5D">
      <w:pPr>
        <w:pStyle w:val="5"/>
        <w:spacing w:line="240" w:lineRule="auto"/>
        <w:ind w:firstLine="546"/>
        <w:rPr>
          <w:rFonts w:hint="eastAsia" w:ascii="宋体" w:hAnsi="宋体" w:eastAsia="宋体"/>
          <w:spacing w:val="6"/>
          <w:kern w:val="48"/>
          <w:sz w:val="28"/>
          <w:szCs w:val="28"/>
        </w:rPr>
      </w:pPr>
      <w:r>
        <w:rPr>
          <w:rFonts w:hint="eastAsia" w:hAnsi="宋体"/>
          <w:b/>
          <w:color w:val="000000"/>
          <w:sz w:val="28"/>
          <w:szCs w:val="28"/>
          <w:lang w:val="en-US" w:eastAsia="zh-CN"/>
        </w:rPr>
        <w:t>采购</w:t>
      </w:r>
      <w:r>
        <w:rPr>
          <w:rFonts w:hint="eastAsia" w:ascii="宋体" w:hAnsi="宋体" w:eastAsia="宋体"/>
          <w:b/>
          <w:color w:val="000000"/>
          <w:sz w:val="28"/>
          <w:szCs w:val="28"/>
        </w:rPr>
        <w:t>内容：</w:t>
      </w:r>
      <w:r>
        <w:rPr>
          <w:rFonts w:hint="eastAsia" w:hAnsi="宋体"/>
          <w:color w:val="000000"/>
          <w:spacing w:val="6"/>
          <w:kern w:val="48"/>
          <w:sz w:val="28"/>
          <w:szCs w:val="28"/>
          <w:lang w:val="en-US" w:eastAsia="zh-CN"/>
        </w:rPr>
        <w:t>学校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直饮水机维保服务</w:t>
      </w: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  <w:lang w:val="en-US" w:eastAsia="zh-CN"/>
        </w:rPr>
        <w:t>项目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。</w:t>
      </w:r>
    </w:p>
    <w:p w14:paraId="2E4E4E68">
      <w:pPr>
        <w:pStyle w:val="5"/>
        <w:spacing w:line="240" w:lineRule="auto"/>
        <w:ind w:firstLine="546"/>
        <w:rPr>
          <w:rFonts w:hint="eastAsia" w:ascii="宋体" w:hAnsi="宋体" w:eastAsia="宋体"/>
          <w:spacing w:val="6"/>
          <w:kern w:val="48"/>
          <w:sz w:val="28"/>
          <w:szCs w:val="28"/>
        </w:rPr>
      </w:pPr>
      <w:r>
        <w:rPr>
          <w:rFonts w:hint="eastAsia" w:ascii="宋体" w:hAnsi="宋体" w:eastAsia="宋体"/>
          <w:spacing w:val="-8"/>
          <w:sz w:val="28"/>
          <w:szCs w:val="28"/>
        </w:rPr>
        <w:t>具体</w:t>
      </w:r>
      <w:r>
        <w:rPr>
          <w:rFonts w:hint="eastAsia" w:ascii="宋体" w:hAnsi="宋体" w:eastAsia="宋体"/>
          <w:spacing w:val="-8"/>
          <w:sz w:val="28"/>
          <w:szCs w:val="28"/>
          <w:lang w:val="en-US" w:eastAsia="zh-CN"/>
        </w:rPr>
        <w:t>内容</w:t>
      </w:r>
      <w:r>
        <w:rPr>
          <w:rFonts w:hint="eastAsia" w:ascii="宋体" w:hAnsi="宋体" w:eastAsia="宋体"/>
          <w:spacing w:val="-8"/>
          <w:sz w:val="28"/>
          <w:szCs w:val="28"/>
        </w:rPr>
        <w:t>要求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：</w:t>
      </w:r>
    </w:p>
    <w:tbl>
      <w:tblPr>
        <w:tblStyle w:val="10"/>
        <w:tblW w:w="917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1854"/>
        <w:gridCol w:w="2082"/>
        <w:gridCol w:w="2082"/>
        <w:gridCol w:w="1616"/>
        <w:gridCol w:w="771"/>
      </w:tblGrid>
      <w:tr w14:paraId="2A3A12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tblHeader/>
          <w:jc w:val="center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51CF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序号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6FCF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  <w:t>校区</w:t>
            </w:r>
          </w:p>
        </w:tc>
        <w:tc>
          <w:tcPr>
            <w:tcW w:w="2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C041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  <w:t>品牌</w:t>
            </w:r>
          </w:p>
        </w:tc>
        <w:tc>
          <w:tcPr>
            <w:tcW w:w="2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C93C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规格型号</w:t>
            </w:r>
          </w:p>
        </w:tc>
        <w:tc>
          <w:tcPr>
            <w:tcW w:w="1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68CC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数量（台）</w:t>
            </w:r>
          </w:p>
        </w:tc>
        <w:tc>
          <w:tcPr>
            <w:tcW w:w="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26DA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备注</w:t>
            </w:r>
          </w:p>
        </w:tc>
      </w:tr>
      <w:tr w14:paraId="5DD782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1A5B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</w:t>
            </w:r>
          </w:p>
        </w:tc>
        <w:tc>
          <w:tcPr>
            <w:tcW w:w="1854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 w14:paraId="5AA7BF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枣子巷校区</w:t>
            </w:r>
          </w:p>
        </w:tc>
        <w:tc>
          <w:tcPr>
            <w:tcW w:w="20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7FBDC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榆升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直饮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机</w:t>
            </w:r>
          </w:p>
        </w:tc>
        <w:tc>
          <w:tcPr>
            <w:tcW w:w="2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E7E6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YS-15BK-G6RO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EEA7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righ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2859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7ABFBC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F953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</w:t>
            </w:r>
          </w:p>
        </w:tc>
        <w:tc>
          <w:tcPr>
            <w:tcW w:w="185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 w14:paraId="3BE2DD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0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CE02A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德玛仕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直饮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机</w:t>
            </w:r>
          </w:p>
        </w:tc>
        <w:tc>
          <w:tcPr>
            <w:tcW w:w="2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5B48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YT2K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5BBF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righ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BF13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6F272C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67D6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</w:t>
            </w:r>
          </w:p>
        </w:tc>
        <w:tc>
          <w:tcPr>
            <w:tcW w:w="185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DFC7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0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285E7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德玛仕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直饮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机</w:t>
            </w:r>
          </w:p>
        </w:tc>
        <w:tc>
          <w:tcPr>
            <w:tcW w:w="2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991A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ML2GA/KS18LG2W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E28A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righ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82F9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00FD0B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AD0A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854" w:type="dxa"/>
            <w:vMerge w:val="restart"/>
            <w:tcBorders>
              <w:left w:val="nil"/>
              <w:right w:val="single" w:color="auto" w:sz="4" w:space="0"/>
            </w:tcBorders>
            <w:noWrap w:val="0"/>
            <w:vAlign w:val="center"/>
          </w:tcPr>
          <w:p w14:paraId="6D285E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南熏巷校区</w:t>
            </w:r>
          </w:p>
        </w:tc>
        <w:tc>
          <w:tcPr>
            <w:tcW w:w="20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E0075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德玛仕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直饮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机</w:t>
            </w:r>
          </w:p>
        </w:tc>
        <w:tc>
          <w:tcPr>
            <w:tcW w:w="2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95131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YT2K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0F48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righ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5400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6C4518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DF48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85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E37F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0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F2185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德玛仕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直饮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机</w:t>
            </w:r>
          </w:p>
        </w:tc>
        <w:tc>
          <w:tcPr>
            <w:tcW w:w="2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5625F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ML2GA/KS18LG2W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10A7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righ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C28A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5F7F64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A5E5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854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 w14:paraId="5EF11E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光荣北路校区</w:t>
            </w:r>
          </w:p>
        </w:tc>
        <w:tc>
          <w:tcPr>
            <w:tcW w:w="20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D3CB6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德玛仕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直饮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机</w:t>
            </w:r>
          </w:p>
        </w:tc>
        <w:tc>
          <w:tcPr>
            <w:tcW w:w="2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E069F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YT2K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31A5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righ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0356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3DA167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F98B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85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4AD6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0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DFC35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德玛仕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直饮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机</w:t>
            </w:r>
          </w:p>
        </w:tc>
        <w:tc>
          <w:tcPr>
            <w:tcW w:w="2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923A7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ML2GA/KS18LG2W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3679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righ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BF69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728E57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04A0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60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DA53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righ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合计：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0FC9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righ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3467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</w:tbl>
    <w:p w14:paraId="76A289F0">
      <w:pPr>
        <w:ind w:firstLine="292" w:firstLineChars="100"/>
        <w:jc w:val="left"/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  <w:lang w:val="en-US" w:eastAsia="zh-CN"/>
        </w:rPr>
      </w:pPr>
      <w:r>
        <w:rPr>
          <w:rFonts w:hint="eastAsia" w:ascii="宋体" w:hAnsi="宋体"/>
          <w:color w:val="000000"/>
          <w:spacing w:val="6"/>
          <w:kern w:val="48"/>
          <w:sz w:val="28"/>
          <w:szCs w:val="28"/>
          <w:lang w:val="en-US" w:eastAsia="zh-CN"/>
        </w:rPr>
        <w:t>1.</w:t>
      </w: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  <w:lang w:val="en-US" w:eastAsia="zh-CN"/>
        </w:rPr>
        <w:t>定期维保服务</w:t>
      </w:r>
    </w:p>
    <w:p w14:paraId="670E32C6">
      <w:pPr>
        <w:ind w:firstLine="292" w:firstLineChars="100"/>
        <w:jc w:val="left"/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  <w:lang w:val="en-US" w:eastAsia="zh-CN"/>
        </w:rPr>
        <w:t>供应商每季度对每台直饮水设备进行一次全面保养，包括更换KDF、</w:t>
      </w:r>
      <w:r>
        <w:rPr>
          <w:rFonts w:hint="eastAsia" w:ascii="宋体" w:hAnsi="宋体"/>
          <w:color w:val="000000"/>
          <w:spacing w:val="6"/>
          <w:kern w:val="48"/>
          <w:sz w:val="28"/>
          <w:szCs w:val="28"/>
          <w:lang w:val="en-US" w:eastAsia="zh-CN"/>
        </w:rPr>
        <w:t>活性炭</w:t>
      </w: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  <w:lang w:val="en-US" w:eastAsia="zh-CN"/>
        </w:rPr>
        <w:t>、紫外线杀菌灯管、清理水垢、检查水电管路等。前三级滤芯每季度更换一次，后两级滤芯（含RO滤芯）每</w:t>
      </w:r>
      <w:r>
        <w:rPr>
          <w:rFonts w:hint="eastAsia" w:ascii="宋体" w:hAnsi="宋体"/>
          <w:color w:val="000000"/>
          <w:spacing w:val="6"/>
          <w:kern w:val="48"/>
          <w:sz w:val="28"/>
          <w:szCs w:val="28"/>
          <w:lang w:val="en-US" w:eastAsia="zh-CN"/>
        </w:rPr>
        <w:t>两个</w:t>
      </w: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  <w:lang w:val="en-US" w:eastAsia="zh-CN"/>
        </w:rPr>
        <w:t>季度更换一次。维保时间应与采购人协商确定，并做好服务记录。</w:t>
      </w:r>
    </w:p>
    <w:p w14:paraId="6785C15E">
      <w:pPr>
        <w:ind w:firstLine="292" w:firstLineChars="100"/>
        <w:jc w:val="left"/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  <w:lang w:val="en-US" w:eastAsia="zh-CN"/>
        </w:rPr>
      </w:pPr>
      <w:r>
        <w:rPr>
          <w:rFonts w:hint="eastAsia" w:ascii="宋体" w:hAnsi="宋体"/>
          <w:color w:val="000000"/>
          <w:spacing w:val="6"/>
          <w:kern w:val="48"/>
          <w:sz w:val="28"/>
          <w:szCs w:val="28"/>
          <w:lang w:val="en-US" w:eastAsia="zh-CN"/>
        </w:rPr>
        <w:t>2.</w:t>
      </w: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  <w:lang w:val="en-US" w:eastAsia="zh-CN"/>
        </w:rPr>
        <w:t>应急维修服务</w:t>
      </w:r>
    </w:p>
    <w:p w14:paraId="35DC2523">
      <w:pPr>
        <w:ind w:firstLine="292" w:firstLineChars="100"/>
        <w:jc w:val="left"/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  <w:lang w:val="en-US" w:eastAsia="zh-CN"/>
        </w:rPr>
        <w:t>供应商须在采购人报修后4小时内到达现场进行维修，确保设备正常运行。</w:t>
      </w:r>
    </w:p>
    <w:p w14:paraId="78796C8D">
      <w:pPr>
        <w:ind w:firstLine="292" w:firstLineChars="100"/>
        <w:jc w:val="left"/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  <w:lang w:val="en-US" w:eastAsia="zh-CN"/>
        </w:rPr>
        <w:t>所有设备内部配件的自然损耗，由供应商免费更换，维修费用全包。更换配件包括但不限于：电磁阀、PPR管、电线、加热棒、电极、电路板、龙头罩、水嘴等。</w:t>
      </w:r>
    </w:p>
    <w:p w14:paraId="0274A2C5">
      <w:pPr>
        <w:ind w:firstLine="292" w:firstLineChars="100"/>
        <w:jc w:val="left"/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  <w:lang w:val="en-US" w:eastAsia="zh-CN"/>
        </w:rPr>
      </w:pPr>
      <w:r>
        <w:rPr>
          <w:rFonts w:hint="eastAsia" w:ascii="宋体" w:hAnsi="宋体"/>
          <w:color w:val="000000"/>
          <w:spacing w:val="6"/>
          <w:kern w:val="48"/>
          <w:sz w:val="28"/>
          <w:szCs w:val="28"/>
          <w:lang w:val="en-US" w:eastAsia="zh-CN"/>
        </w:rPr>
        <w:t>3.</w:t>
      </w: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  <w:lang w:val="en-US" w:eastAsia="zh-CN"/>
        </w:rPr>
        <w:t>水质检测服务</w:t>
      </w:r>
    </w:p>
    <w:p w14:paraId="751AEC92">
      <w:pPr>
        <w:ind w:firstLine="292" w:firstLineChars="100"/>
        <w:jc w:val="left"/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  <w:lang w:val="en-US" w:eastAsia="zh-CN"/>
        </w:rPr>
        <w:t>每年进行2次全覆盖水质检测，检测内容包括：pH值、浑浊度、色度、肉眼可见物、耗氧量、菌落总数、总大肠菌群等。所有检测由具备CMA认证的专业检测机构完成，并出具检测合格报告。</w:t>
      </w:r>
    </w:p>
    <w:p w14:paraId="24B017CC">
      <w:pPr>
        <w:ind w:firstLine="292" w:firstLineChars="100"/>
        <w:jc w:val="left"/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  <w:lang w:val="en-US" w:eastAsia="zh-CN"/>
        </w:rPr>
        <w:t>对检测不合格的设备进行重新保养，直至水质合格为止。</w:t>
      </w:r>
    </w:p>
    <w:p w14:paraId="61360151">
      <w:pPr>
        <w:ind w:firstLine="292" w:firstLineChars="100"/>
        <w:jc w:val="left"/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  <w:lang w:val="en-US" w:eastAsia="zh-CN"/>
        </w:rPr>
      </w:pPr>
      <w:r>
        <w:rPr>
          <w:rFonts w:hint="eastAsia" w:ascii="宋体" w:hAnsi="宋体"/>
          <w:color w:val="000000"/>
          <w:spacing w:val="6"/>
          <w:kern w:val="48"/>
          <w:sz w:val="28"/>
          <w:szCs w:val="28"/>
          <w:lang w:val="en-US" w:eastAsia="zh-CN"/>
        </w:rPr>
        <w:t>4.</w:t>
      </w: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  <w:lang w:val="en-US" w:eastAsia="zh-CN"/>
        </w:rPr>
        <w:t>其他服务要求</w:t>
      </w:r>
    </w:p>
    <w:p w14:paraId="0C8C15EB">
      <w:pPr>
        <w:ind w:firstLine="292" w:firstLineChars="100"/>
        <w:jc w:val="left"/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  <w:lang w:val="en-US" w:eastAsia="zh-CN"/>
        </w:rPr>
        <w:t>提供维保服务报告，包括每次服务的日期、内容、更换配件、检测结果等。</w:t>
      </w:r>
    </w:p>
    <w:p w14:paraId="6F165A3F">
      <w:pPr>
        <w:ind w:firstLine="292" w:firstLineChars="100"/>
        <w:jc w:val="left"/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  <w:lang w:val="en-US" w:eastAsia="zh-CN"/>
        </w:rPr>
        <w:t>配合学校安排的临时检查、应急处理等其他相关工作。</w:t>
      </w:r>
    </w:p>
    <w:p w14:paraId="492FF32E">
      <w:pPr>
        <w:spacing w:line="520" w:lineRule="exact"/>
        <w:ind w:firstLine="816" w:firstLineChars="300"/>
        <w:rPr>
          <w:rFonts w:ascii="宋体" w:hAnsi="宋体" w:eastAsia="宋体"/>
          <w:spacing w:val="12"/>
          <w:sz w:val="28"/>
          <w:szCs w:val="28"/>
        </w:rPr>
      </w:pPr>
      <w:r>
        <w:rPr>
          <w:rFonts w:hint="eastAsia" w:ascii="宋体" w:hAnsi="宋体" w:eastAsia="宋体"/>
          <w:b/>
          <w:color w:val="000000"/>
          <w:spacing w:val="-4"/>
          <w:sz w:val="28"/>
          <w:szCs w:val="28"/>
        </w:rPr>
        <w:t>二、采购预算：</w:t>
      </w:r>
      <w:r>
        <w:rPr>
          <w:rFonts w:hint="eastAsia" w:ascii="宋体" w:hAnsi="宋体" w:eastAsia="宋体"/>
          <w:spacing w:val="12"/>
          <w:sz w:val="28"/>
          <w:szCs w:val="28"/>
          <w:lang w:eastAsia="zh-CN"/>
        </w:rPr>
        <w:t>预算总金额</w:t>
      </w:r>
      <w:r>
        <w:rPr>
          <w:rFonts w:hint="eastAsia" w:ascii="宋体" w:hAnsi="宋体" w:eastAsia="宋体"/>
          <w:spacing w:val="12"/>
          <w:sz w:val="28"/>
          <w:szCs w:val="28"/>
          <w:u w:val="single"/>
          <w:lang w:eastAsia="zh-CN"/>
        </w:rPr>
        <w:t>为￥</w:t>
      </w:r>
      <w:r>
        <w:rPr>
          <w:rFonts w:hint="eastAsia" w:ascii="宋体" w:hAnsi="宋体"/>
          <w:color w:val="auto"/>
          <w:spacing w:val="12"/>
          <w:sz w:val="28"/>
          <w:szCs w:val="28"/>
          <w:u w:val="single"/>
          <w:lang w:val="en-US" w:eastAsia="zh-CN"/>
        </w:rPr>
        <w:t>98000</w:t>
      </w:r>
      <w:r>
        <w:rPr>
          <w:rFonts w:hint="eastAsia" w:ascii="宋体" w:hAnsi="宋体" w:eastAsia="宋体"/>
          <w:color w:val="auto"/>
          <w:sz w:val="28"/>
          <w:szCs w:val="28"/>
          <w:u w:val="single"/>
          <w:lang w:val="en-US" w:eastAsia="zh-CN"/>
        </w:rPr>
        <w:t>.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00</w:t>
      </w:r>
      <w:r>
        <w:rPr>
          <w:rFonts w:hint="eastAsia" w:ascii="宋体" w:hAnsi="宋体" w:eastAsia="宋体" w:cs="Times New Roman"/>
          <w:spacing w:val="-8"/>
          <w:sz w:val="28"/>
          <w:szCs w:val="28"/>
          <w:lang w:val="en-US" w:eastAsia="zh-CN"/>
        </w:rPr>
        <w:t>。</w:t>
      </w:r>
      <w:r>
        <w:rPr>
          <w:rFonts w:hint="eastAsia" w:ascii="宋体" w:hAnsi="宋体" w:eastAsia="宋体"/>
          <w:spacing w:val="12"/>
          <w:sz w:val="28"/>
          <w:szCs w:val="28"/>
          <w:lang w:val="en-US" w:eastAsia="zh-CN"/>
        </w:rPr>
        <w:t>超出此金额的报价将被视为无效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。</w:t>
      </w:r>
      <w:r>
        <w:rPr>
          <w:rFonts w:hint="eastAsia" w:ascii="宋体" w:hAnsi="宋体" w:eastAsia="宋体"/>
          <w:spacing w:val="-8"/>
          <w:sz w:val="28"/>
          <w:szCs w:val="28"/>
          <w:lang w:val="en-US" w:eastAsia="zh-CN"/>
        </w:rPr>
        <w:t>报价需包含税费及其他所有相关费用，且在我校询价期间内有效。报价应为闭口价，即一次性报出且不得更改的价格。</w:t>
      </w:r>
    </w:p>
    <w:p w14:paraId="344364CA">
      <w:pPr>
        <w:spacing w:line="520" w:lineRule="exact"/>
        <w:ind w:left="-27" w:leftChars="-13" w:firstLine="544" w:firstLineChars="200"/>
        <w:rPr>
          <w:rFonts w:ascii="宋体" w:hAnsi="宋体" w:eastAsia="宋体"/>
          <w:b/>
          <w:color w:val="000000"/>
          <w:spacing w:val="-4"/>
          <w:sz w:val="28"/>
          <w:szCs w:val="28"/>
        </w:rPr>
      </w:pPr>
      <w:r>
        <w:rPr>
          <w:rFonts w:hint="eastAsia" w:ascii="宋体" w:hAnsi="宋体" w:eastAsia="宋体"/>
          <w:b/>
          <w:color w:val="000000"/>
          <w:spacing w:val="-4"/>
          <w:sz w:val="28"/>
          <w:szCs w:val="28"/>
        </w:rPr>
        <w:t xml:space="preserve">三、参选人应具备的条件： </w:t>
      </w:r>
    </w:p>
    <w:p w14:paraId="061BB860">
      <w:pPr>
        <w:ind w:left="-27" w:leftChars="-13" w:firstLine="560" w:firstLineChars="200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（1）</w:t>
      </w:r>
      <w:r>
        <w:rPr>
          <w:rFonts w:hint="eastAsia" w:ascii="宋体" w:hAnsi="宋体" w:eastAsia="宋体"/>
          <w:kern w:val="0"/>
          <w:sz w:val="28"/>
          <w:szCs w:val="28"/>
          <w:lang w:eastAsia="zh-CN"/>
        </w:rPr>
        <w:t>持有</w:t>
      </w:r>
      <w:r>
        <w:rPr>
          <w:rFonts w:hint="eastAsia" w:ascii="宋体" w:hAnsi="宋体" w:eastAsia="宋体"/>
          <w:kern w:val="0"/>
          <w:sz w:val="28"/>
          <w:szCs w:val="28"/>
        </w:rPr>
        <w:t>营业执照；</w:t>
      </w:r>
    </w:p>
    <w:p w14:paraId="1EC2DCDD">
      <w:pPr>
        <w:ind w:firstLine="560" w:firstLineChars="20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kern w:val="0"/>
          <w:sz w:val="28"/>
          <w:szCs w:val="28"/>
        </w:rPr>
        <w:t>（2）</w:t>
      </w:r>
      <w:r>
        <w:rPr>
          <w:rFonts w:hint="eastAsia" w:ascii="宋体" w:hAnsi="宋体" w:eastAsia="宋体"/>
          <w:sz w:val="28"/>
          <w:szCs w:val="28"/>
        </w:rPr>
        <w:t>参选人</w:t>
      </w:r>
      <w:r>
        <w:rPr>
          <w:rFonts w:hint="eastAsia" w:ascii="宋体" w:hAnsi="宋体" w:eastAsia="宋体"/>
          <w:sz w:val="28"/>
          <w:szCs w:val="28"/>
          <w:lang w:eastAsia="zh-CN"/>
        </w:rPr>
        <w:t>需配备</w:t>
      </w:r>
      <w:r>
        <w:rPr>
          <w:rFonts w:hint="eastAsia" w:ascii="宋体" w:hAnsi="宋体" w:eastAsia="宋体"/>
          <w:sz w:val="28"/>
          <w:szCs w:val="28"/>
        </w:rPr>
        <w:t>能够满足本次比选需求的项目联系人</w:t>
      </w:r>
      <w:r>
        <w:rPr>
          <w:rFonts w:hint="eastAsia" w:ascii="宋体" w:hAnsi="宋体" w:eastAsia="宋体"/>
          <w:sz w:val="28"/>
          <w:szCs w:val="28"/>
          <w:lang w:eastAsia="zh-CN"/>
        </w:rPr>
        <w:t>；</w:t>
      </w:r>
    </w:p>
    <w:p w14:paraId="61F90478">
      <w:pPr>
        <w:ind w:firstLine="560" w:firstLineChars="200"/>
        <w:rPr>
          <w:rFonts w:hint="eastAsia" w:ascii="宋体" w:hAnsi="宋体" w:eastAsia="宋体" w:cs="Times New Roman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  <w:lang w:val="en-US" w:eastAsia="zh-CN"/>
        </w:rPr>
        <w:t>具备独立法人资格，具有良好的商业信誉和健全的财务制度</w:t>
      </w:r>
      <w:r>
        <w:rPr>
          <w:rFonts w:hint="eastAsia" w:ascii="宋体" w:hAnsi="宋体" w:eastAsia="宋体" w:cs="Times New Roman"/>
          <w:sz w:val="28"/>
          <w:szCs w:val="28"/>
          <w:lang w:eastAsia="zh-CN"/>
        </w:rPr>
        <w:t>；</w:t>
      </w:r>
    </w:p>
    <w:p w14:paraId="500507F7">
      <w:pPr>
        <w:ind w:firstLine="560" w:firstLineChars="200"/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  <w:lang w:val="en-US" w:eastAsia="zh-CN"/>
        </w:rPr>
      </w:pPr>
      <w:r>
        <w:rPr>
          <w:rFonts w:hint="eastAsia" w:ascii="宋体" w:hAnsi="宋体" w:cs="Times New Roman"/>
          <w:sz w:val="28"/>
          <w:szCs w:val="28"/>
          <w:lang w:eastAsia="zh-CN"/>
        </w:rPr>
        <w:t>（</w:t>
      </w:r>
      <w:r>
        <w:rPr>
          <w:rFonts w:hint="eastAsia" w:ascii="宋体" w:hAnsi="宋体" w:cs="Times New Roman"/>
          <w:sz w:val="28"/>
          <w:szCs w:val="28"/>
          <w:lang w:val="en-US" w:eastAsia="zh-CN"/>
        </w:rPr>
        <w:t>4</w:t>
      </w:r>
      <w:r>
        <w:rPr>
          <w:rFonts w:hint="eastAsia" w:ascii="宋体" w:hAnsi="宋体" w:cs="Times New Roman"/>
          <w:sz w:val="28"/>
          <w:szCs w:val="28"/>
          <w:lang w:eastAsia="zh-CN"/>
        </w:rPr>
        <w:t>）</w:t>
      </w: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  <w:lang w:val="en-US" w:eastAsia="zh-CN"/>
        </w:rPr>
        <w:t>承诺每年开展两次水质检测，提供专业机构的水质检测报告；</w:t>
      </w:r>
    </w:p>
    <w:p w14:paraId="4990B18F">
      <w:pPr>
        <w:ind w:firstLine="584" w:firstLineChars="200"/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  <w:lang w:val="en-US" w:eastAsia="zh-CN"/>
        </w:rPr>
        <w:t>（5）承诺所更换的滤芯为正品适配；</w:t>
      </w:r>
    </w:p>
    <w:p w14:paraId="136EEE4B">
      <w:pPr>
        <w:ind w:firstLine="584" w:firstLineChars="200"/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  <w:lang w:val="en-US" w:eastAsia="zh-CN"/>
        </w:rPr>
        <w:t>（6）具有依法缴纳税收和社会保障资金的良好记录，承诺函；</w:t>
      </w:r>
    </w:p>
    <w:p w14:paraId="0415CFE7">
      <w:pPr>
        <w:ind w:firstLine="560" w:firstLineChars="200"/>
        <w:rPr>
          <w:rFonts w:hint="eastAsia" w:ascii="宋体" w:hAnsi="宋体" w:eastAsia="宋体" w:cs="Times New Roman"/>
          <w:sz w:val="28"/>
          <w:szCs w:val="28"/>
          <w:lang w:eastAsia="zh-CN"/>
        </w:rPr>
      </w:pPr>
      <w:r>
        <w:rPr>
          <w:rFonts w:hint="eastAsia" w:ascii="宋体" w:hAnsi="宋体" w:eastAsia="宋体" w:cs="Times New Roman"/>
          <w:sz w:val="28"/>
          <w:szCs w:val="28"/>
          <w:lang w:eastAsia="zh-CN"/>
        </w:rPr>
        <w:t>（</w:t>
      </w:r>
      <w:r>
        <w:rPr>
          <w:rFonts w:hint="eastAsia" w:ascii="宋体" w:hAnsi="宋体" w:cs="Times New Roman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Times New Roman"/>
          <w:sz w:val="28"/>
          <w:szCs w:val="28"/>
          <w:lang w:eastAsia="zh-CN"/>
        </w:rPr>
        <w:t>）</w:t>
      </w: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  <w:lang w:val="en-US" w:eastAsia="zh-CN"/>
        </w:rPr>
        <w:t>未被列入“信用中国”失信被执行人、重大税收违法案件当事人名单，承诺函</w:t>
      </w:r>
      <w:r>
        <w:rPr>
          <w:rFonts w:hint="eastAsia" w:ascii="宋体" w:hAnsi="宋体" w:eastAsia="宋体" w:cs="Times New Roman"/>
          <w:sz w:val="28"/>
          <w:szCs w:val="28"/>
          <w:lang w:eastAsia="zh-CN"/>
        </w:rPr>
        <w:t xml:space="preserve">。 </w:t>
      </w:r>
    </w:p>
    <w:p w14:paraId="5D0F16C6">
      <w:pPr>
        <w:pStyle w:val="5"/>
        <w:spacing w:line="480" w:lineRule="exact"/>
        <w:ind w:firstLine="565" w:firstLineChars="208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四、参选文件的编制：</w:t>
      </w:r>
    </w:p>
    <w:p w14:paraId="3FA8818F">
      <w:pPr>
        <w:spacing w:line="520" w:lineRule="exact"/>
        <w:ind w:firstLine="608" w:firstLineChars="200"/>
        <w:rPr>
          <w:rFonts w:ascii="宋体" w:hAnsi="宋体" w:eastAsia="宋体"/>
          <w:spacing w:val="12"/>
          <w:sz w:val="28"/>
          <w:szCs w:val="28"/>
        </w:rPr>
      </w:pPr>
      <w:r>
        <w:rPr>
          <w:rFonts w:hint="eastAsia" w:ascii="宋体" w:hAnsi="宋体" w:eastAsia="宋体"/>
          <w:spacing w:val="12"/>
          <w:sz w:val="28"/>
          <w:szCs w:val="28"/>
        </w:rPr>
        <w:t>（一）参选文件至少应包括下列内容：</w:t>
      </w:r>
    </w:p>
    <w:p w14:paraId="64A614CF">
      <w:pPr>
        <w:spacing w:line="520" w:lineRule="exact"/>
        <w:ind w:firstLine="608" w:firstLineChars="200"/>
        <w:rPr>
          <w:rFonts w:hint="eastAsia" w:ascii="宋体" w:hAnsi="宋体" w:eastAsia="宋体"/>
          <w:spacing w:val="12"/>
          <w:sz w:val="28"/>
          <w:szCs w:val="28"/>
          <w:lang w:eastAsia="zh-CN"/>
        </w:rPr>
      </w:pPr>
      <w:r>
        <w:rPr>
          <w:rFonts w:hint="eastAsia" w:ascii="宋体" w:hAnsi="宋体" w:eastAsia="宋体" w:cs="Times New Roman"/>
          <w:spacing w:val="12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Times New Roman"/>
          <w:spacing w:val="12"/>
          <w:sz w:val="28"/>
          <w:szCs w:val="28"/>
          <w:lang w:val="en-US" w:eastAsia="zh-CN"/>
        </w:rPr>
        <w:t>1）</w:t>
      </w:r>
      <w:r>
        <w:rPr>
          <w:rFonts w:hint="eastAsia" w:ascii="宋体" w:hAnsi="宋体" w:eastAsia="宋体"/>
          <w:spacing w:val="12"/>
          <w:sz w:val="28"/>
          <w:szCs w:val="28"/>
          <w:lang w:val="en-US" w:eastAsia="zh-CN"/>
        </w:rPr>
        <w:t>营业执照副本复印件（需加盖公章）；</w:t>
      </w:r>
    </w:p>
    <w:p w14:paraId="3CD9578B">
      <w:pPr>
        <w:spacing w:line="520" w:lineRule="exact"/>
        <w:ind w:firstLine="608" w:firstLineChars="200"/>
        <w:rPr>
          <w:rFonts w:hint="eastAsia" w:eastAsia="宋体"/>
          <w:lang w:eastAsia="zh-CN"/>
        </w:rPr>
      </w:pPr>
      <w:r>
        <w:rPr>
          <w:rFonts w:hint="eastAsia" w:ascii="宋体" w:hAnsi="宋体" w:eastAsia="宋体"/>
          <w:spacing w:val="12"/>
          <w:sz w:val="28"/>
          <w:szCs w:val="28"/>
          <w:lang w:eastAsia="zh-CN"/>
        </w:rPr>
        <w:t>（</w:t>
      </w:r>
      <w:r>
        <w:rPr>
          <w:rFonts w:hint="eastAsia" w:ascii="宋体" w:hAnsi="宋体" w:eastAsia="宋体"/>
          <w:spacing w:val="12"/>
          <w:sz w:val="28"/>
          <w:szCs w:val="28"/>
          <w:lang w:val="en-US" w:eastAsia="zh-CN"/>
        </w:rPr>
        <w:t>2）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参选人需指定一位能够满足本次比选需求的项目联系人，并提供其联系方式；</w:t>
      </w:r>
    </w:p>
    <w:p w14:paraId="1ED72C5C">
      <w:pPr>
        <w:spacing w:line="520" w:lineRule="exact"/>
        <w:ind w:firstLine="560" w:firstLineChars="200"/>
        <w:rPr>
          <w:rFonts w:hint="eastAsia" w:ascii="宋体" w:hAnsi="宋体" w:eastAsia="宋体" w:cs="Times New Roman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法定代表人身份证明或授权委托书（内含授权代表身份证复印件，须加盖公章）</w:t>
      </w:r>
      <w:r>
        <w:rPr>
          <w:rFonts w:hint="eastAsia" w:ascii="宋体" w:hAnsi="宋体" w:eastAsia="宋体" w:cs="Times New Roman"/>
          <w:sz w:val="28"/>
          <w:szCs w:val="28"/>
          <w:lang w:eastAsia="zh-CN"/>
        </w:rPr>
        <w:t>；</w:t>
      </w:r>
    </w:p>
    <w:p w14:paraId="43D23EA8">
      <w:pPr>
        <w:spacing w:line="520" w:lineRule="exact"/>
        <w:ind w:firstLine="560" w:firstLineChars="200"/>
        <w:rPr>
          <w:rFonts w:hint="eastAsia" w:eastAsia="宋体"/>
          <w:lang w:eastAsia="zh-CN"/>
        </w:rPr>
      </w:pPr>
      <w:r>
        <w:rPr>
          <w:rFonts w:hint="eastAsia" w:ascii="宋体" w:hAnsi="宋体" w:eastAsia="宋体" w:cs="Times New Roman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4）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具备直饮水设备维保服务经验，提供2022年1月后类似服务项目业绩证明（中标通知书、服务合同等均可）；</w:t>
      </w:r>
    </w:p>
    <w:p w14:paraId="68A73F29">
      <w:pPr>
        <w:spacing w:line="520" w:lineRule="exact"/>
        <w:ind w:firstLine="560" w:firstLineChars="200"/>
        <w:rPr>
          <w:rFonts w:hint="eastAsia" w:eastAsia="宋体"/>
          <w:lang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（5）制定服务方案，以确保能够及时响应并提供高效服务；</w:t>
      </w:r>
    </w:p>
    <w:p w14:paraId="59C3A556">
      <w:pPr>
        <w:spacing w:line="520" w:lineRule="exact"/>
        <w:ind w:firstLine="560" w:firstLineChars="200"/>
        <w:rPr>
          <w:rFonts w:hint="eastAsia" w:eastAsia="宋体"/>
          <w:lang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（6）提供专业维保技术人员名单、联系方式及资格证；</w:t>
      </w:r>
    </w:p>
    <w:p w14:paraId="5A147E6B">
      <w:pPr>
        <w:spacing w:line="520" w:lineRule="exact"/>
        <w:ind w:firstLine="560" w:firstLineChars="20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（7）提供安全管理方案；</w:t>
      </w:r>
    </w:p>
    <w:p w14:paraId="65DDDAA6">
      <w:pPr>
        <w:spacing w:line="520" w:lineRule="exact"/>
        <w:ind w:firstLine="560" w:firstLineChars="200"/>
        <w:rPr>
          <w:rFonts w:hint="eastAsia" w:ascii="宋体" w:hAnsi="宋体" w:eastAsia="宋体" w:cs="Times New Roman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（</w:t>
      </w:r>
      <w:r>
        <w:rPr>
          <w:rFonts w:hint="eastAsia" w:ascii="宋体" w:hAnsi="宋体" w:cs="Times New Roman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）</w:t>
      </w:r>
      <w:r>
        <w:rPr>
          <w:rFonts w:hint="eastAsia" w:ascii="宋体" w:hAnsi="宋体" w:eastAsia="宋体" w:cs="Times New Roman"/>
          <w:sz w:val="28"/>
          <w:szCs w:val="28"/>
        </w:rPr>
        <w:t>供应商认为有必要提供的其他</w:t>
      </w:r>
      <w:r>
        <w:rPr>
          <w:rFonts w:hint="eastAsia" w:ascii="宋体" w:hAnsi="宋体" w:eastAsia="宋体" w:cs="Times New Roman"/>
          <w:kern w:val="2"/>
          <w:sz w:val="28"/>
          <w:szCs w:val="28"/>
          <w:lang w:val="en-US" w:eastAsia="zh-CN" w:bidi="ar-SA"/>
        </w:rPr>
        <w:t>相关</w:t>
      </w:r>
      <w:r>
        <w:rPr>
          <w:rFonts w:hint="eastAsia" w:ascii="宋体" w:hAnsi="宋体" w:eastAsia="宋体" w:cs="Times New Roman"/>
          <w:sz w:val="28"/>
          <w:szCs w:val="28"/>
        </w:rPr>
        <w:t>资格证明材料</w:t>
      </w:r>
      <w:r>
        <w:rPr>
          <w:rFonts w:hint="eastAsia" w:ascii="宋体" w:hAnsi="宋体" w:cs="Times New Roman"/>
          <w:sz w:val="28"/>
          <w:szCs w:val="28"/>
          <w:lang w:eastAsia="zh-CN"/>
        </w:rPr>
        <w:t xml:space="preserve">。 </w:t>
      </w:r>
    </w:p>
    <w:p w14:paraId="5F6D1A56">
      <w:pPr>
        <w:spacing w:line="520" w:lineRule="exact"/>
        <w:ind w:left="-27" w:leftChars="-13" w:firstLine="608" w:firstLineChars="200"/>
        <w:rPr>
          <w:rFonts w:ascii="宋体" w:hAnsi="宋体" w:eastAsia="宋体"/>
          <w:b/>
          <w:spacing w:val="6"/>
          <w:kern w:val="48"/>
          <w:sz w:val="28"/>
          <w:szCs w:val="28"/>
        </w:rPr>
      </w:pPr>
      <w:r>
        <w:rPr>
          <w:rFonts w:hint="eastAsia" w:ascii="宋体" w:hAnsi="宋体" w:eastAsia="宋体"/>
          <w:b/>
          <w:spacing w:val="12"/>
          <w:sz w:val="28"/>
          <w:szCs w:val="28"/>
        </w:rPr>
        <w:t>所有复印件一律加盖投</w:t>
      </w:r>
      <w:r>
        <w:rPr>
          <w:rFonts w:hint="eastAsia" w:ascii="宋体" w:hAnsi="宋体" w:eastAsia="宋体"/>
          <w:b/>
          <w:spacing w:val="6"/>
          <w:kern w:val="48"/>
          <w:sz w:val="28"/>
          <w:szCs w:val="28"/>
        </w:rPr>
        <w:t>标商鲜章。</w:t>
      </w:r>
    </w:p>
    <w:p w14:paraId="2624DC44">
      <w:pPr>
        <w:pStyle w:val="5"/>
        <w:spacing w:line="480" w:lineRule="exact"/>
        <w:ind w:left="0" w:leftChars="0" w:firstLine="419" w:firstLineChars="138"/>
        <w:rPr>
          <w:rFonts w:ascii="宋体" w:hAnsi="宋体" w:eastAsia="宋体"/>
          <w:spacing w:val="6"/>
          <w:kern w:val="48"/>
          <w:sz w:val="28"/>
          <w:szCs w:val="28"/>
        </w:rPr>
      </w:pPr>
      <w:r>
        <w:rPr>
          <w:rFonts w:hint="eastAsia" w:ascii="宋体" w:hAnsi="宋体" w:eastAsia="宋体"/>
          <w:spacing w:val="12"/>
          <w:sz w:val="28"/>
          <w:szCs w:val="28"/>
        </w:rPr>
        <w:t>（二）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参选文件封装要求：</w:t>
      </w:r>
    </w:p>
    <w:p w14:paraId="17D0A5C0">
      <w:pPr>
        <w:pStyle w:val="5"/>
        <w:spacing w:line="480" w:lineRule="exact"/>
        <w:ind w:left="0" w:leftChars="0" w:firstLine="402" w:firstLineChars="138"/>
        <w:rPr>
          <w:rFonts w:ascii="宋体" w:hAnsi="宋体" w:eastAsia="宋体"/>
          <w:spacing w:val="6"/>
          <w:kern w:val="48"/>
          <w:sz w:val="28"/>
          <w:szCs w:val="28"/>
        </w:rPr>
      </w:pPr>
      <w:r>
        <w:rPr>
          <w:rFonts w:hint="eastAsia" w:ascii="宋体" w:hAnsi="宋体" w:eastAsia="宋体"/>
          <w:spacing w:val="6"/>
          <w:kern w:val="48"/>
          <w:sz w:val="28"/>
          <w:szCs w:val="28"/>
        </w:rPr>
        <w:t>（1）写明</w:t>
      </w:r>
      <w:r>
        <w:rPr>
          <w:rFonts w:hint="eastAsia" w:ascii="宋体" w:hAnsi="宋体" w:eastAsia="宋体"/>
          <w:spacing w:val="6"/>
          <w:kern w:val="48"/>
          <w:sz w:val="28"/>
          <w:szCs w:val="28"/>
          <w:u w:val="single"/>
        </w:rPr>
        <w:t>项目名称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、</w:t>
      </w:r>
      <w:r>
        <w:rPr>
          <w:rFonts w:hint="eastAsia" w:ascii="宋体" w:hAnsi="宋体" w:eastAsia="宋体"/>
          <w:spacing w:val="6"/>
          <w:kern w:val="48"/>
          <w:sz w:val="28"/>
          <w:szCs w:val="28"/>
          <w:u w:val="single"/>
        </w:rPr>
        <w:t>年月日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、</w:t>
      </w:r>
      <w:r>
        <w:rPr>
          <w:rFonts w:hint="eastAsia" w:ascii="宋体" w:hAnsi="宋体" w:eastAsia="宋体"/>
          <w:spacing w:val="6"/>
          <w:kern w:val="48"/>
          <w:sz w:val="28"/>
          <w:szCs w:val="28"/>
          <w:u w:val="single"/>
        </w:rPr>
        <w:t>投标人名称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并于</w:t>
      </w:r>
      <w:r>
        <w:rPr>
          <w:rFonts w:hint="eastAsia" w:ascii="宋体" w:hAnsi="宋体" w:eastAsia="宋体"/>
          <w:spacing w:val="6"/>
          <w:kern w:val="48"/>
          <w:sz w:val="28"/>
          <w:szCs w:val="28"/>
          <w:u w:val="single"/>
        </w:rPr>
        <w:t>袋口密封处加盖投标人鲜章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；</w:t>
      </w:r>
    </w:p>
    <w:p w14:paraId="4B40E200">
      <w:pPr>
        <w:pStyle w:val="5"/>
        <w:spacing w:line="480" w:lineRule="exact"/>
        <w:ind w:left="0" w:leftChars="0" w:firstLine="402" w:firstLineChars="138"/>
        <w:rPr>
          <w:rFonts w:ascii="宋体" w:hAnsi="宋体" w:eastAsia="宋体"/>
          <w:spacing w:val="6"/>
          <w:kern w:val="48"/>
          <w:sz w:val="28"/>
          <w:szCs w:val="28"/>
        </w:rPr>
      </w:pPr>
      <w:r>
        <w:rPr>
          <w:rFonts w:hint="eastAsia" w:ascii="宋体" w:hAnsi="宋体" w:eastAsia="宋体"/>
          <w:spacing w:val="6"/>
          <w:kern w:val="48"/>
          <w:sz w:val="28"/>
          <w:szCs w:val="28"/>
        </w:rPr>
        <w:t>（2）参选文件一份。</w:t>
      </w:r>
    </w:p>
    <w:p w14:paraId="2589BE47">
      <w:pPr>
        <w:spacing w:line="520" w:lineRule="exact"/>
        <w:ind w:left="0" w:leftChars="0" w:firstLine="419" w:firstLineChars="138"/>
        <w:rPr>
          <w:rFonts w:hint="eastAsia" w:ascii="宋体" w:hAnsi="宋体" w:eastAsia="宋体"/>
          <w:spacing w:val="6"/>
          <w:kern w:val="48"/>
          <w:sz w:val="28"/>
          <w:szCs w:val="28"/>
          <w:lang w:eastAsia="zh-CN"/>
        </w:rPr>
      </w:pPr>
      <w:r>
        <w:rPr>
          <w:rFonts w:hint="eastAsia" w:ascii="宋体" w:hAnsi="宋体" w:eastAsia="宋体"/>
          <w:spacing w:val="12"/>
          <w:sz w:val="28"/>
          <w:szCs w:val="28"/>
          <w:lang w:eastAsia="zh-CN"/>
        </w:rPr>
        <w:t>（三）参选人</w:t>
      </w:r>
      <w:r>
        <w:rPr>
          <w:rFonts w:hint="eastAsia" w:ascii="宋体" w:hAnsi="宋体" w:eastAsia="宋体"/>
          <w:spacing w:val="6"/>
          <w:kern w:val="48"/>
          <w:sz w:val="28"/>
          <w:szCs w:val="28"/>
          <w:lang w:eastAsia="zh-CN"/>
        </w:rPr>
        <w:t>须将参选文件亲自递交至采购人指定的地点，不接受邮寄方式提交。</w:t>
      </w:r>
    </w:p>
    <w:p w14:paraId="514C6F27">
      <w:pPr>
        <w:spacing w:line="520" w:lineRule="exact"/>
        <w:ind w:left="0" w:leftChars="0" w:firstLine="419" w:firstLineChars="138"/>
        <w:rPr>
          <w:rFonts w:hint="eastAsia" w:ascii="宋体" w:hAnsi="宋体"/>
          <w:spacing w:val="12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pacing w:val="12"/>
          <w:sz w:val="28"/>
          <w:szCs w:val="28"/>
          <w:lang w:val="en-US" w:eastAsia="zh-CN"/>
        </w:rPr>
        <w:t>（四）</w:t>
      </w:r>
      <w:r>
        <w:rPr>
          <w:rFonts w:hint="eastAsia" w:ascii="宋体" w:hAnsi="宋体"/>
          <w:spacing w:val="12"/>
          <w:sz w:val="28"/>
          <w:szCs w:val="28"/>
          <w:lang w:val="en-US" w:eastAsia="zh-CN"/>
        </w:rPr>
        <w:t>本次比选结束后3个工作日内（含比选当日），我校将通过电话方式通知中选单位。</w:t>
      </w:r>
    </w:p>
    <w:p w14:paraId="145DF9F9">
      <w:pPr>
        <w:spacing w:line="520" w:lineRule="exact"/>
        <w:ind w:left="0" w:leftChars="0" w:firstLine="419" w:firstLineChars="138"/>
        <w:rPr>
          <w:rFonts w:hint="eastAsia" w:ascii="宋体" w:hAnsi="宋体"/>
          <w:spacing w:val="12"/>
          <w:sz w:val="28"/>
          <w:szCs w:val="28"/>
          <w:lang w:val="en-US" w:eastAsia="zh-CN"/>
        </w:rPr>
      </w:pPr>
      <w:r>
        <w:rPr>
          <w:rFonts w:hint="eastAsia" w:ascii="宋体" w:hAnsi="宋体"/>
          <w:spacing w:val="12"/>
          <w:sz w:val="28"/>
          <w:szCs w:val="28"/>
          <w:lang w:val="en-US" w:eastAsia="zh-CN"/>
        </w:rPr>
        <w:t>（五）</w:t>
      </w:r>
      <w:r>
        <w:rPr>
          <w:rFonts w:hint="eastAsia" w:ascii="宋体" w:hAnsi="宋体" w:eastAsia="宋体" w:cs="Times New Roman"/>
          <w:spacing w:val="12"/>
          <w:sz w:val="28"/>
          <w:szCs w:val="28"/>
          <w:lang w:val="zh-CN" w:eastAsia="zh-CN"/>
        </w:rPr>
        <w:t>未中标单位将不再另行通知，敬请谅解</w:t>
      </w:r>
      <w:r>
        <w:rPr>
          <w:rFonts w:hint="eastAsia" w:ascii="宋体" w:hAnsi="宋体" w:cs="Times New Roman"/>
          <w:spacing w:val="12"/>
          <w:sz w:val="28"/>
          <w:szCs w:val="28"/>
          <w:lang w:val="zh-CN" w:eastAsia="zh-CN"/>
        </w:rPr>
        <w:t>。</w:t>
      </w:r>
    </w:p>
    <w:p w14:paraId="6C40E7A3">
      <w:pPr>
        <w:spacing w:line="520" w:lineRule="exact"/>
        <w:ind w:left="0" w:leftChars="0" w:firstLine="419" w:firstLineChars="138"/>
        <w:rPr>
          <w:rFonts w:hint="eastAsia" w:ascii="宋体" w:hAnsi="宋体" w:eastAsia="宋体" w:cs="Times New Roman"/>
          <w:spacing w:val="12"/>
          <w:sz w:val="28"/>
          <w:szCs w:val="28"/>
          <w:lang w:val="zh-CN" w:eastAsia="zh-CN"/>
        </w:rPr>
      </w:pPr>
      <w:r>
        <w:rPr>
          <w:rFonts w:hint="eastAsia" w:ascii="宋体" w:hAnsi="宋体"/>
          <w:spacing w:val="12"/>
          <w:sz w:val="28"/>
          <w:szCs w:val="28"/>
          <w:lang w:val="en-US" w:eastAsia="zh-CN"/>
        </w:rPr>
        <w:t>（六）中标单位在接到电话通知</w:t>
      </w:r>
      <w:r>
        <w:rPr>
          <w:rFonts w:hint="eastAsia" w:ascii="宋体" w:hAnsi="宋体" w:eastAsia="宋体" w:cs="Times New Roman"/>
          <w:spacing w:val="12"/>
          <w:sz w:val="28"/>
          <w:szCs w:val="28"/>
          <w:lang w:val="en-US" w:eastAsia="zh-CN"/>
        </w:rPr>
        <w:t>之日起3</w:t>
      </w:r>
      <w:r>
        <w:rPr>
          <w:rFonts w:hint="eastAsia" w:ascii="宋体" w:hAnsi="宋体" w:cs="Times New Roman"/>
          <w:spacing w:val="12"/>
          <w:sz w:val="28"/>
          <w:szCs w:val="28"/>
          <w:lang w:val="en-US" w:eastAsia="zh-CN"/>
        </w:rPr>
        <w:t>个工作</w:t>
      </w:r>
      <w:bookmarkStart w:id="0" w:name="_GoBack"/>
      <w:bookmarkEnd w:id="0"/>
      <w:r>
        <w:rPr>
          <w:rFonts w:hint="eastAsia" w:ascii="宋体" w:hAnsi="宋体" w:eastAsia="宋体" w:cs="Times New Roman"/>
          <w:spacing w:val="12"/>
          <w:sz w:val="28"/>
          <w:szCs w:val="28"/>
          <w:lang w:val="en-US" w:eastAsia="zh-CN"/>
        </w:rPr>
        <w:t>日内，需携带成交通知书、企业营业执照、法人或委托证明等相关文件到学校签订合同，并按照投标文件要求办理相关手续，逾期将视为自动放弃。</w:t>
      </w:r>
    </w:p>
    <w:p w14:paraId="5AE743B5">
      <w:pPr>
        <w:pStyle w:val="5"/>
        <w:spacing w:line="480" w:lineRule="exact"/>
        <w:ind w:firstLine="565" w:firstLineChars="208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五、递交参选文件截止时间及开标时间：</w:t>
      </w:r>
      <w:r>
        <w:rPr>
          <w:rFonts w:hint="eastAsia" w:ascii="宋体" w:hAnsi="宋体" w:eastAsia="宋体"/>
          <w:sz w:val="28"/>
          <w:szCs w:val="28"/>
        </w:rPr>
        <w:t xml:space="preserve"> 202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hAnsi="宋体"/>
          <w:sz w:val="28"/>
          <w:szCs w:val="28"/>
          <w:lang w:val="en-US" w:eastAsia="zh-CN"/>
        </w:rPr>
        <w:t>11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hAnsi="宋体"/>
          <w:sz w:val="28"/>
          <w:szCs w:val="28"/>
          <w:lang w:val="en-US" w:eastAsia="zh-CN"/>
        </w:rPr>
        <w:t>12</w:t>
      </w:r>
      <w:r>
        <w:rPr>
          <w:rFonts w:hint="eastAsia" w:ascii="宋体" w:hAnsi="宋体" w:eastAsia="宋体"/>
          <w:sz w:val="28"/>
          <w:szCs w:val="28"/>
        </w:rPr>
        <w:t>日</w:t>
      </w:r>
      <w:r>
        <w:rPr>
          <w:rFonts w:hint="eastAsia" w:hAnsi="宋体"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:00</w:t>
      </w:r>
      <w:r>
        <w:rPr>
          <w:rFonts w:hint="eastAsia" w:ascii="宋体" w:hAnsi="宋体" w:eastAsia="宋体"/>
          <w:sz w:val="28"/>
          <w:szCs w:val="28"/>
        </w:rPr>
        <w:t>（北京时间）。</w:t>
      </w:r>
    </w:p>
    <w:p w14:paraId="5DE233A9">
      <w:pPr>
        <w:pStyle w:val="5"/>
        <w:spacing w:line="480" w:lineRule="exact"/>
        <w:ind w:firstLine="565" w:firstLineChars="208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六、递交参选文件时间、地点、联系人：</w:t>
      </w:r>
    </w:p>
    <w:p w14:paraId="3509F416">
      <w:pPr>
        <w:spacing w:line="520" w:lineRule="exact"/>
        <w:ind w:left="-27" w:leftChars="-13" w:firstLine="1168" w:firstLineChars="4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pacing w:val="6"/>
          <w:kern w:val="48"/>
          <w:sz w:val="28"/>
          <w:szCs w:val="28"/>
        </w:rPr>
        <w:t>地  点：金牛区</w:t>
      </w:r>
      <w:r>
        <w:rPr>
          <w:rFonts w:hint="eastAsia" w:ascii="宋体" w:hAnsi="宋体" w:eastAsia="宋体"/>
          <w:spacing w:val="6"/>
          <w:kern w:val="48"/>
          <w:sz w:val="28"/>
          <w:szCs w:val="28"/>
          <w:lang w:val="en-US" w:eastAsia="zh-CN"/>
        </w:rPr>
        <w:t>枣子巷26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号</w:t>
      </w:r>
    </w:p>
    <w:p w14:paraId="0EFFCDFF">
      <w:pPr>
        <w:spacing w:line="520" w:lineRule="exact"/>
        <w:ind w:firstLine="1168" w:firstLineChars="400"/>
        <w:rPr>
          <w:rFonts w:ascii="宋体" w:hAnsi="宋体" w:eastAsia="宋体"/>
          <w:spacing w:val="6"/>
          <w:kern w:val="48"/>
          <w:sz w:val="28"/>
          <w:szCs w:val="28"/>
        </w:rPr>
      </w:pPr>
      <w:r>
        <w:rPr>
          <w:rFonts w:hint="eastAsia" w:ascii="宋体" w:hAnsi="宋体" w:eastAsia="宋体"/>
          <w:spacing w:val="6"/>
          <w:kern w:val="48"/>
          <w:sz w:val="28"/>
          <w:szCs w:val="28"/>
        </w:rPr>
        <w:t>联系人：杨玲</w:t>
      </w:r>
    </w:p>
    <w:p w14:paraId="142D9A9B">
      <w:pPr>
        <w:spacing w:line="520" w:lineRule="exact"/>
        <w:ind w:left="-27" w:leftChars="-13" w:firstLine="1168" w:firstLineChars="4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pacing w:val="6"/>
          <w:kern w:val="48"/>
          <w:sz w:val="28"/>
          <w:szCs w:val="28"/>
        </w:rPr>
        <w:t>联系电话：028-</w:t>
      </w:r>
      <w:r>
        <w:rPr>
          <w:rFonts w:ascii="宋体" w:hAnsi="宋体" w:eastAsia="宋体"/>
          <w:spacing w:val="6"/>
          <w:kern w:val="48"/>
          <w:sz w:val="28"/>
          <w:szCs w:val="28"/>
        </w:rPr>
        <w:t>87735311</w:t>
      </w:r>
    </w:p>
    <w:p w14:paraId="68CF9CDE">
      <w:pPr>
        <w:pStyle w:val="5"/>
        <w:spacing w:line="240" w:lineRule="auto"/>
        <w:ind w:firstLine="544" w:firstLineChars="200"/>
        <w:rPr>
          <w:rFonts w:hint="eastAsia" w:ascii="宋体" w:hAnsi="宋体" w:eastAsia="宋体"/>
          <w:color w:val="auto"/>
          <w:spacing w:val="-8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sz w:val="28"/>
          <w:szCs w:val="28"/>
        </w:rPr>
        <w:t>评审原则：</w:t>
      </w:r>
      <w:r>
        <w:rPr>
          <w:rFonts w:hint="eastAsia" w:asciiTheme="minorEastAsia" w:hAnsiTheme="minorEastAsia" w:eastAsiaTheme="minorEastAsia"/>
          <w:color w:val="auto"/>
          <w:spacing w:val="-8"/>
          <w:sz w:val="28"/>
          <w:szCs w:val="28"/>
        </w:rPr>
        <w:t>本项目采取</w:t>
      </w:r>
      <w:r>
        <w:rPr>
          <w:rFonts w:hint="eastAsia" w:asciiTheme="minorEastAsia" w:hAnsiTheme="minorEastAsia"/>
          <w:color w:val="auto"/>
          <w:sz w:val="28"/>
          <w:szCs w:val="28"/>
          <w:u w:val="single"/>
        </w:rPr>
        <w:t>综合评分法</w:t>
      </w:r>
      <w:r>
        <w:rPr>
          <w:rFonts w:hint="eastAsia" w:asciiTheme="minorEastAsia" w:hAnsiTheme="minorEastAsia" w:eastAsiaTheme="minorEastAsia"/>
          <w:color w:val="auto"/>
          <w:spacing w:val="-8"/>
          <w:sz w:val="28"/>
          <w:szCs w:val="28"/>
        </w:rPr>
        <w:t>确定成交供应商。具体评分细则详见附件</w:t>
      </w:r>
      <w:r>
        <w:rPr>
          <w:rFonts w:hint="eastAsia" w:asciiTheme="minorEastAsia" w:hAnsiTheme="minorEastAsia" w:eastAsiaTheme="minorEastAsia"/>
          <w:color w:val="auto"/>
          <w:spacing w:val="-8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/>
          <w:color w:val="auto"/>
          <w:spacing w:val="-8"/>
          <w:sz w:val="28"/>
          <w:szCs w:val="28"/>
        </w:rPr>
        <w:t>。</w:t>
      </w:r>
    </w:p>
    <w:p w14:paraId="1A34A232">
      <w:pPr>
        <w:pStyle w:val="5"/>
        <w:spacing w:line="240" w:lineRule="auto"/>
        <w:ind w:firstLine="563" w:firstLineChars="207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八、监督电话：</w:t>
      </w:r>
    </w:p>
    <w:p w14:paraId="49B26E8D">
      <w:pPr>
        <w:pStyle w:val="5"/>
        <w:spacing w:line="240" w:lineRule="auto"/>
        <w:ind w:firstLine="546" w:firstLineChars="207"/>
        <w:rPr>
          <w:rFonts w:ascii="宋体" w:hAnsi="宋体" w:eastAsia="宋体"/>
          <w:spacing w:val="-8"/>
          <w:sz w:val="28"/>
          <w:szCs w:val="28"/>
        </w:rPr>
      </w:pPr>
      <w:r>
        <w:rPr>
          <w:rFonts w:hint="eastAsia" w:ascii="宋体" w:hAnsi="宋体" w:eastAsia="宋体"/>
          <w:spacing w:val="-8"/>
          <w:sz w:val="28"/>
          <w:szCs w:val="28"/>
        </w:rPr>
        <w:t>学校党政办公室，电话028-87768310</w:t>
      </w:r>
    </w:p>
    <w:p w14:paraId="54A7D111">
      <w:pPr>
        <w:ind w:firstLine="560" w:firstLineChars="200"/>
        <w:rPr>
          <w:rFonts w:ascii="宋体" w:hAnsi="宋体" w:eastAsia="宋体"/>
          <w:b/>
          <w:sz w:val="28"/>
          <w:szCs w:val="28"/>
        </w:rPr>
      </w:pPr>
      <w:r>
        <w:rPr>
          <w:rFonts w:ascii="宋体" w:hAnsi="宋体" w:eastAsia="宋体"/>
          <w:b/>
          <w:sz w:val="28"/>
          <w:szCs w:val="28"/>
        </w:rPr>
        <w:t>九、合同签订、</w:t>
      </w:r>
      <w:r>
        <w:rPr>
          <w:rFonts w:hint="eastAsia" w:ascii="宋体" w:hAnsi="宋体" w:eastAsia="宋体"/>
          <w:b/>
          <w:sz w:val="28"/>
          <w:szCs w:val="28"/>
        </w:rPr>
        <w:t>验收及付款方式：</w:t>
      </w:r>
    </w:p>
    <w:p w14:paraId="7AF92030">
      <w:pPr>
        <w:ind w:firstLine="560" w:firstLineChars="20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/>
          <w:sz w:val="28"/>
          <w:szCs w:val="28"/>
          <w:lang w:eastAsia="zh-CN"/>
        </w:rPr>
        <w:t>1.</w:t>
      </w:r>
      <w:r>
        <w:rPr>
          <w:rFonts w:hint="eastAsia" w:ascii="宋体" w:hAnsi="宋体" w:eastAsia="宋体"/>
          <w:sz w:val="28"/>
          <w:szCs w:val="28"/>
          <w:lang w:eastAsia="zh-CN"/>
        </w:rPr>
        <w:t>比选结果于当日进行公示，公示期届满后，如无任何异议，双方将正式签署合同。</w:t>
      </w:r>
    </w:p>
    <w:p w14:paraId="01719960">
      <w:pPr>
        <w:ind w:firstLine="560" w:firstLineChars="200"/>
        <w:rPr>
          <w:rFonts w:hint="default" w:ascii="宋体" w:hAnsi="宋体" w:eastAsia="宋体" w:cs="Times New Roman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eastAsia="zh-CN"/>
        </w:rPr>
        <w:t>2.</w:t>
      </w: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  <w:lang w:val="en-US" w:eastAsia="zh-CN"/>
        </w:rPr>
        <w:t>服务周期：2026年1月1日至2026年12月31日。</w:t>
      </w:r>
    </w:p>
    <w:p w14:paraId="4848744D">
      <w:pPr>
        <w:ind w:firstLine="560" w:firstLineChars="200"/>
        <w:rPr>
          <w:rFonts w:hint="default" w:ascii="宋体" w:hAnsi="宋体" w:eastAsia="宋体" w:cs="Times New Roman"/>
          <w:sz w:val="28"/>
          <w:szCs w:val="28"/>
          <w:lang w:val="en-US" w:eastAsia="zh-CN"/>
        </w:rPr>
      </w:pPr>
      <w:r>
        <w:rPr>
          <w:rFonts w:hint="eastAsia" w:ascii="宋体" w:hAnsi="宋体" w:cs="Times New Roman"/>
          <w:sz w:val="28"/>
          <w:szCs w:val="28"/>
          <w:lang w:val="en-US" w:eastAsia="zh-CN"/>
        </w:rPr>
        <w:t>3.</w:t>
      </w: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  <w:lang w:val="en-US" w:eastAsia="zh-CN"/>
        </w:rPr>
        <w:t>服务地点：成都市枣子巷26号、南熏巷25号、光荣北路85号。</w:t>
      </w:r>
    </w:p>
    <w:p w14:paraId="3510DF2C">
      <w:pPr>
        <w:ind w:firstLine="560" w:firstLineChars="200"/>
        <w:rPr>
          <w:rFonts w:hint="default"/>
          <w:color w:val="auto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4.</w:t>
      </w:r>
      <w:r>
        <w:rPr>
          <w:rFonts w:hint="eastAsia" w:ascii="宋体" w:hAnsi="宋体" w:eastAsia="宋体"/>
          <w:sz w:val="28"/>
          <w:szCs w:val="28"/>
          <w:lang w:eastAsia="zh-CN"/>
        </w:rPr>
        <w:t>付款方式：按季度支付。每季度服务完成后，乙方提交服务报告并开具发票。甲方在收到发票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后</w:t>
      </w:r>
      <w:r>
        <w:rPr>
          <w:rFonts w:hint="eastAsia" w:ascii="宋体" w:hAnsi="宋体" w:eastAsia="宋体"/>
          <w:sz w:val="28"/>
          <w:szCs w:val="28"/>
          <w:lang w:eastAsia="zh-CN"/>
        </w:rPr>
        <w:t>10个工作日内，完成转账支付。</w:t>
      </w:r>
      <w:r>
        <w:rPr>
          <w:rFonts w:hint="eastAsia" w:ascii="宋体" w:hAnsi="宋体" w:eastAsia="宋体"/>
          <w:color w:val="auto"/>
          <w:sz w:val="28"/>
          <w:szCs w:val="28"/>
          <w:lang w:eastAsia="zh-CN"/>
        </w:rPr>
        <w:t>每季度支付金额约为人民币</w:t>
      </w:r>
      <w:r>
        <w:rPr>
          <w:rFonts w:hint="eastAsia" w:ascii="宋体" w:hAnsi="宋体" w:eastAsia="宋体"/>
          <w:color w:val="auto"/>
          <w:sz w:val="28"/>
          <w:szCs w:val="28"/>
          <w:lang w:val="en-US" w:eastAsia="zh-CN"/>
        </w:rPr>
        <w:t xml:space="preserve"> /</w:t>
      </w:r>
      <w:r>
        <w:rPr>
          <w:rFonts w:hint="eastAsia" w:ascii="宋体" w:hAnsi="宋体" w:eastAsia="宋体"/>
          <w:color w:val="auto"/>
          <w:sz w:val="28"/>
          <w:szCs w:val="28"/>
          <w:lang w:eastAsia="zh-CN"/>
        </w:rPr>
        <w:t>元</w:t>
      </w:r>
      <w:r>
        <w:rPr>
          <w:rFonts w:hint="eastAsia" w:ascii="宋体" w:hAnsi="宋体" w:eastAsia="宋体"/>
          <w:sz w:val="28"/>
          <w:szCs w:val="28"/>
          <w:lang w:eastAsia="zh-CN"/>
        </w:rPr>
        <w:t>。（备注：全年总费用不得超过合同约定金额）</w:t>
      </w:r>
    </w:p>
    <w:p w14:paraId="4EF4F976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5.</w:t>
      </w:r>
      <w:r>
        <w:rPr>
          <w:rFonts w:hint="eastAsia" w:ascii="宋体" w:hAnsi="宋体" w:eastAsia="宋体"/>
          <w:sz w:val="28"/>
          <w:szCs w:val="28"/>
          <w:lang w:eastAsia="zh-CN"/>
        </w:rPr>
        <w:t>中标供应商须按照合同要求，在约定时间内完成项目任务。我校将组织相关人员对项目实施进程及内容质量进行全面验收</w:t>
      </w:r>
      <w:r>
        <w:rPr>
          <w:rFonts w:hint="eastAsia" w:ascii="宋体" w:hAnsi="宋体" w:eastAsia="宋体"/>
          <w:sz w:val="28"/>
          <w:szCs w:val="28"/>
        </w:rPr>
        <w:t>。</w:t>
      </w:r>
    </w:p>
    <w:p w14:paraId="779816ED">
      <w:pPr>
        <w:pStyle w:val="5"/>
        <w:spacing w:line="480" w:lineRule="exact"/>
        <w:ind w:left="584" w:firstLine="584"/>
        <w:rPr>
          <w:rFonts w:ascii="宋体" w:hAnsi="宋体" w:eastAsia="宋体"/>
          <w:spacing w:val="6"/>
          <w:kern w:val="48"/>
          <w:sz w:val="28"/>
          <w:szCs w:val="28"/>
        </w:rPr>
      </w:pPr>
    </w:p>
    <w:p w14:paraId="5DE8DF16">
      <w:pPr>
        <w:pStyle w:val="6"/>
        <w:wordWrap w:val="0"/>
        <w:spacing w:line="480" w:lineRule="exact"/>
        <w:ind w:left="584" w:right="132" w:firstLine="584"/>
        <w:jc w:val="right"/>
        <w:rPr>
          <w:rFonts w:ascii="宋体" w:hAnsi="宋体" w:eastAsia="宋体"/>
          <w:spacing w:val="6"/>
          <w:kern w:val="48"/>
          <w:sz w:val="28"/>
          <w:szCs w:val="28"/>
        </w:rPr>
      </w:pPr>
      <w:r>
        <w:rPr>
          <w:rFonts w:hint="eastAsia" w:ascii="宋体" w:hAnsi="宋体" w:eastAsia="宋体"/>
          <w:spacing w:val="6"/>
          <w:kern w:val="48"/>
          <w:sz w:val="28"/>
          <w:szCs w:val="28"/>
        </w:rPr>
        <w:t xml:space="preserve"> </w:t>
      </w: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</w:rPr>
        <w:t>四川省成都市财</w:t>
      </w:r>
      <w:r>
        <w:rPr>
          <w:rFonts w:hint="eastAsia" w:ascii="宋体" w:hAnsi="宋体" w:eastAsia="宋体"/>
          <w:sz w:val="28"/>
          <w:szCs w:val="28"/>
        </w:rPr>
        <w:t>贸</w:t>
      </w: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</w:rPr>
        <w:t>职业高级中学校</w:t>
      </w:r>
    </w:p>
    <w:p w14:paraId="6E38605D">
      <w:pPr>
        <w:pStyle w:val="6"/>
        <w:tabs>
          <w:tab w:val="left" w:pos="8610"/>
        </w:tabs>
        <w:wordWrap w:val="0"/>
        <w:spacing w:line="480" w:lineRule="exact"/>
        <w:ind w:right="406"/>
        <w:jc w:val="left"/>
        <w:rPr>
          <w:rFonts w:hint="eastAsia" w:ascii="宋体" w:hAnsi="宋体" w:eastAsia="宋体"/>
          <w:spacing w:val="6"/>
          <w:kern w:val="48"/>
          <w:sz w:val="28"/>
          <w:szCs w:val="28"/>
        </w:rPr>
        <w:sectPr>
          <w:pgSz w:w="11906" w:h="16838"/>
          <w:pgMar w:top="1381" w:right="1440" w:bottom="1797" w:left="1440" w:header="851" w:footer="992" w:gutter="0"/>
          <w:cols w:space="720" w:num="1"/>
          <w:docGrid w:type="linesAndChars" w:linePitch="312" w:charSpace="0"/>
        </w:sectPr>
      </w:pPr>
      <w:r>
        <w:rPr>
          <w:rFonts w:hint="eastAsia" w:ascii="宋体" w:hAnsi="宋体" w:eastAsia="宋体"/>
          <w:spacing w:val="6"/>
          <w:kern w:val="48"/>
          <w:sz w:val="28"/>
          <w:szCs w:val="28"/>
        </w:rPr>
        <w:t xml:space="preserve">                                </w:t>
      </w:r>
      <w:r>
        <w:rPr>
          <w:rFonts w:ascii="宋体" w:hAnsi="宋体" w:eastAsia="宋体"/>
          <w:spacing w:val="6"/>
          <w:kern w:val="48"/>
          <w:sz w:val="28"/>
          <w:szCs w:val="28"/>
        </w:rPr>
        <w:t>202</w:t>
      </w:r>
      <w:r>
        <w:rPr>
          <w:rFonts w:hint="eastAsia" w:ascii="宋体" w:hAnsi="宋体" w:eastAsia="宋体"/>
          <w:spacing w:val="6"/>
          <w:kern w:val="48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年</w:t>
      </w:r>
      <w:r>
        <w:rPr>
          <w:rFonts w:hint="eastAsia" w:hAnsi="宋体"/>
          <w:spacing w:val="6"/>
          <w:kern w:val="48"/>
          <w:sz w:val="28"/>
          <w:szCs w:val="28"/>
          <w:lang w:val="en-US" w:eastAsia="zh-CN"/>
        </w:rPr>
        <w:t>11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月</w:t>
      </w:r>
      <w:r>
        <w:rPr>
          <w:rFonts w:hint="eastAsia" w:hAnsi="宋体"/>
          <w:spacing w:val="6"/>
          <w:kern w:val="48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日</w:t>
      </w:r>
    </w:p>
    <w:p w14:paraId="422B08FC">
      <w:pPr>
        <w:pStyle w:val="6"/>
        <w:tabs>
          <w:tab w:val="left" w:pos="8610"/>
        </w:tabs>
        <w:wordWrap w:val="0"/>
        <w:spacing w:line="480" w:lineRule="exact"/>
        <w:ind w:right="406"/>
        <w:jc w:val="left"/>
        <w:rPr>
          <w:rFonts w:hint="eastAsia" w:hAnsi="宋体"/>
          <w:b/>
          <w:bCs/>
          <w:spacing w:val="6"/>
          <w:kern w:val="48"/>
          <w:sz w:val="28"/>
          <w:szCs w:val="28"/>
          <w:lang w:val="en-US" w:eastAsia="zh-CN"/>
        </w:rPr>
      </w:pPr>
      <w:r>
        <w:rPr>
          <w:rFonts w:hint="eastAsia" w:hAnsi="宋体"/>
          <w:b/>
          <w:bCs/>
          <w:spacing w:val="6"/>
          <w:kern w:val="48"/>
          <w:sz w:val="28"/>
          <w:szCs w:val="28"/>
          <w:lang w:val="en-US" w:eastAsia="zh-CN"/>
        </w:rPr>
        <w:t>附件1：</w:t>
      </w:r>
    </w:p>
    <w:p w14:paraId="5715995E">
      <w:pPr>
        <w:pStyle w:val="6"/>
        <w:wordWrap w:val="0"/>
        <w:spacing w:line="480" w:lineRule="exact"/>
        <w:ind w:right="406" w:firstLine="880" w:firstLineChars="200"/>
        <w:jc w:val="center"/>
        <w:rPr>
          <w:rFonts w:hint="eastAsia"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评审办法</w:t>
      </w:r>
    </w:p>
    <w:tbl>
      <w:tblPr>
        <w:tblStyle w:val="11"/>
        <w:tblpPr w:leftFromText="180" w:rightFromText="180" w:vertAnchor="text" w:horzAnchor="page" w:tblpX="1410" w:tblpY="630"/>
        <w:tblOverlap w:val="never"/>
        <w:tblW w:w="92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5"/>
        <w:gridCol w:w="836"/>
        <w:gridCol w:w="5955"/>
        <w:gridCol w:w="836"/>
      </w:tblGrid>
      <w:tr w14:paraId="54605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tblHeader/>
        </w:trPr>
        <w:tc>
          <w:tcPr>
            <w:tcW w:w="1615" w:type="dxa"/>
            <w:vAlign w:val="center"/>
          </w:tcPr>
          <w:p w14:paraId="15DB8A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  <w:t>评分项</w:t>
            </w:r>
          </w:p>
        </w:tc>
        <w:tc>
          <w:tcPr>
            <w:tcW w:w="836" w:type="dxa"/>
            <w:vAlign w:val="center"/>
          </w:tcPr>
          <w:p w14:paraId="301021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  <w:t>分值</w:t>
            </w:r>
          </w:p>
        </w:tc>
        <w:tc>
          <w:tcPr>
            <w:tcW w:w="5955" w:type="dxa"/>
            <w:vAlign w:val="center"/>
          </w:tcPr>
          <w:p w14:paraId="29AA15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  <w:t>评分标准</w:t>
            </w:r>
          </w:p>
        </w:tc>
        <w:tc>
          <w:tcPr>
            <w:tcW w:w="836" w:type="dxa"/>
            <w:vAlign w:val="center"/>
          </w:tcPr>
          <w:p w14:paraId="3E8062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  <w:t>备注</w:t>
            </w:r>
          </w:p>
        </w:tc>
      </w:tr>
      <w:tr w14:paraId="3F75E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1615" w:type="dxa"/>
            <w:vAlign w:val="center"/>
          </w:tcPr>
          <w:p w14:paraId="5F4FC9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报价</w:t>
            </w:r>
          </w:p>
        </w:tc>
        <w:tc>
          <w:tcPr>
            <w:tcW w:w="836" w:type="dxa"/>
            <w:vAlign w:val="center"/>
          </w:tcPr>
          <w:p w14:paraId="3D1F68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right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30</w:t>
            </w:r>
          </w:p>
        </w:tc>
        <w:tc>
          <w:tcPr>
            <w:tcW w:w="5955" w:type="dxa"/>
            <w:vAlign w:val="center"/>
          </w:tcPr>
          <w:p w14:paraId="695D58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评审基准价：各投标人的投标报价经评审后，以经评审后的各有效投标人投标报价（评审价）的最低价作为评标基准价。</w:t>
            </w:r>
          </w:p>
          <w:p w14:paraId="75FF51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投标人报价得分=（评标基准价÷投标人投标报价）×30。</w:t>
            </w:r>
          </w:p>
        </w:tc>
        <w:tc>
          <w:tcPr>
            <w:tcW w:w="836" w:type="dxa"/>
            <w:vAlign w:val="center"/>
          </w:tcPr>
          <w:p w14:paraId="3E7AD5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20231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</w:trPr>
        <w:tc>
          <w:tcPr>
            <w:tcW w:w="1615" w:type="dxa"/>
            <w:vAlign w:val="center"/>
          </w:tcPr>
          <w:p w14:paraId="5D3FC1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业绩</w:t>
            </w:r>
          </w:p>
        </w:tc>
        <w:tc>
          <w:tcPr>
            <w:tcW w:w="836" w:type="dxa"/>
            <w:vAlign w:val="center"/>
          </w:tcPr>
          <w:p w14:paraId="08F63D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right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15</w:t>
            </w:r>
          </w:p>
        </w:tc>
        <w:tc>
          <w:tcPr>
            <w:tcW w:w="5955" w:type="dxa"/>
            <w:vAlign w:val="center"/>
          </w:tcPr>
          <w:p w14:paraId="2E0093D9">
            <w:pPr>
              <w:keepNext w:val="0"/>
              <w:keepLines w:val="0"/>
              <w:pageBreakBefore w:val="0"/>
              <w:pBdr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根据供应商提供的业绩证明材料进行评分。2022年1月以后的中选通知书、履约合同均可，每提供一家业绩证明得5分，最高15分。</w:t>
            </w:r>
          </w:p>
        </w:tc>
        <w:tc>
          <w:tcPr>
            <w:tcW w:w="836" w:type="dxa"/>
            <w:vAlign w:val="center"/>
          </w:tcPr>
          <w:p w14:paraId="2C6703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2CF6E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2" w:hRule="atLeast"/>
        </w:trPr>
        <w:tc>
          <w:tcPr>
            <w:tcW w:w="1615" w:type="dxa"/>
            <w:vAlign w:val="center"/>
          </w:tcPr>
          <w:p w14:paraId="050F39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服务方案</w:t>
            </w:r>
          </w:p>
        </w:tc>
        <w:tc>
          <w:tcPr>
            <w:tcW w:w="836" w:type="dxa"/>
            <w:vAlign w:val="center"/>
          </w:tcPr>
          <w:p w14:paraId="2830AF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right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30</w:t>
            </w:r>
          </w:p>
        </w:tc>
        <w:tc>
          <w:tcPr>
            <w:tcW w:w="5955" w:type="dxa"/>
            <w:vAlign w:val="center"/>
          </w:tcPr>
          <w:p w14:paraId="4D5688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1.维保服务计划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‌：评估供应商是否提供详细的季度保养计划，包括更换滤芯、清理水垢、检查水电管路等具体内容。计划完整得7.5分，每项内容缺失扣1分，完全缺失不得分。</w:t>
            </w:r>
          </w:p>
          <w:p w14:paraId="092B78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2.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‌应急响应方案‌：评估供应商是否明确4小时内到达现场维修的流程，包括联系方式、备用配件库存等。方案可行得7.5分，流程模糊扣3分，完全缺失不得分。</w:t>
            </w:r>
          </w:p>
          <w:p w14:paraId="38E5F9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3.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‌水质检测流程‌：评估供应商是否提供每年2次全覆盖水质检测的具体检测项目、检测机构资质及报告格式。流程科学得7.5分，项目不全扣3分，完全缺失不得分。</w:t>
            </w:r>
          </w:p>
          <w:p w14:paraId="5840891E">
            <w:pPr>
              <w:keepNext w:val="0"/>
              <w:keepLines w:val="0"/>
              <w:pageBreakBefore w:val="0"/>
              <w:pBdr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4.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‌配件更换标准‌：评估供应商是否明确所有内部配件的自然损耗免费更换范围，包括电磁阀、PPR管、加热棒等。标准明确得7.5分，范围模糊扣3分，完全缺失不得分。</w:t>
            </w:r>
          </w:p>
        </w:tc>
        <w:tc>
          <w:tcPr>
            <w:tcW w:w="836" w:type="dxa"/>
            <w:vAlign w:val="center"/>
          </w:tcPr>
          <w:p w14:paraId="76EEE7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2342E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1615" w:type="dxa"/>
            <w:vAlign w:val="center"/>
          </w:tcPr>
          <w:p w14:paraId="3E64EA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服务能力</w:t>
            </w:r>
          </w:p>
        </w:tc>
        <w:tc>
          <w:tcPr>
            <w:tcW w:w="836" w:type="dxa"/>
            <w:vAlign w:val="center"/>
          </w:tcPr>
          <w:p w14:paraId="5503D5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right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10</w:t>
            </w:r>
          </w:p>
        </w:tc>
        <w:tc>
          <w:tcPr>
            <w:tcW w:w="5955" w:type="dxa"/>
            <w:vAlign w:val="center"/>
          </w:tcPr>
          <w:p w14:paraId="453042A0">
            <w:pPr>
              <w:keepNext w:val="0"/>
              <w:keepLines w:val="0"/>
              <w:pageBreakBefore w:val="0"/>
              <w:pBdr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评估供应商是否提供技术人员专业资质证书，如水质检测员、维修工程师等。每提供一项资质证明得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2.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5分，最高分10分。</w:t>
            </w:r>
          </w:p>
        </w:tc>
        <w:tc>
          <w:tcPr>
            <w:tcW w:w="836" w:type="dxa"/>
            <w:vAlign w:val="center"/>
          </w:tcPr>
          <w:p w14:paraId="532FB0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  <w:tr w14:paraId="321EDC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7" w:hRule="atLeast"/>
        </w:trPr>
        <w:tc>
          <w:tcPr>
            <w:tcW w:w="1615" w:type="dxa"/>
            <w:vAlign w:val="center"/>
          </w:tcPr>
          <w:p w14:paraId="685151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安全管理方案</w:t>
            </w:r>
          </w:p>
        </w:tc>
        <w:tc>
          <w:tcPr>
            <w:tcW w:w="836" w:type="dxa"/>
            <w:vAlign w:val="center"/>
          </w:tcPr>
          <w:p w14:paraId="309137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right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15</w:t>
            </w:r>
          </w:p>
        </w:tc>
        <w:tc>
          <w:tcPr>
            <w:tcW w:w="5955" w:type="dxa"/>
            <w:vAlign w:val="center"/>
          </w:tcPr>
          <w:p w14:paraId="18B431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安全管理制度‌：评估供应商是否制定安全管理制度，包括设备操作规范、应急处理流程等。制度完整得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5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分，制度不全扣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2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分，完全缺失不得分。</w:t>
            </w:r>
          </w:p>
          <w:p w14:paraId="0A874C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2.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‌人员安全培训方案：评估供应商是否提供人员安全培训方案，如培训时间、内容、考核结果等。齐全得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4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分，记录不全扣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2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分，完全缺失不得分。</w:t>
            </w:r>
          </w:p>
          <w:p w14:paraId="4B3985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3.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‌应急处理流程‌：评估供应商是否制定应急处理流程，如设备故障、水质异常等情况的处理步骤。流程完整得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3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分，流程不全扣1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.5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分，完全缺失不得分。</w:t>
            </w:r>
          </w:p>
          <w:p w14:paraId="523D84F1">
            <w:pPr>
              <w:keepNext w:val="0"/>
              <w:keepLines w:val="0"/>
              <w:pageBreakBefore w:val="0"/>
              <w:pBdr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4.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‌设备操作规范‌：评估供应商是否制定设备操作规范，确保操作人员安全操作设备。规范完整得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3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分，规范不全扣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1.5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  <w:t>分，完全缺失不得分。</w:t>
            </w:r>
          </w:p>
        </w:tc>
        <w:tc>
          <w:tcPr>
            <w:tcW w:w="836" w:type="dxa"/>
            <w:vAlign w:val="center"/>
          </w:tcPr>
          <w:p w14:paraId="5136B9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</w:tr>
    </w:tbl>
    <w:p w14:paraId="1B6CBF1F">
      <w:pPr>
        <w:pStyle w:val="6"/>
        <w:tabs>
          <w:tab w:val="left" w:pos="8610"/>
        </w:tabs>
        <w:wordWrap w:val="0"/>
        <w:spacing w:line="480" w:lineRule="exact"/>
        <w:ind w:right="406"/>
        <w:jc w:val="left"/>
        <w:rPr>
          <w:rFonts w:hint="default" w:hAnsi="宋体"/>
          <w:b/>
          <w:bCs/>
          <w:spacing w:val="6"/>
          <w:kern w:val="48"/>
          <w:sz w:val="28"/>
          <w:szCs w:val="28"/>
          <w:lang w:val="en-US" w:eastAsia="zh-CN"/>
        </w:rPr>
      </w:pPr>
    </w:p>
    <w:sectPr>
      <w:pgSz w:w="11906" w:h="16838"/>
      <w:pgMar w:top="1381" w:right="1440" w:bottom="1797" w:left="144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F254D6"/>
    <w:rsid w:val="04651CD8"/>
    <w:rsid w:val="06823015"/>
    <w:rsid w:val="07200382"/>
    <w:rsid w:val="07CF228A"/>
    <w:rsid w:val="08EE6740"/>
    <w:rsid w:val="090F03F8"/>
    <w:rsid w:val="0A261F09"/>
    <w:rsid w:val="0C831895"/>
    <w:rsid w:val="0E5B6000"/>
    <w:rsid w:val="0E96765D"/>
    <w:rsid w:val="14BC76F2"/>
    <w:rsid w:val="14E629C1"/>
    <w:rsid w:val="17BB0135"/>
    <w:rsid w:val="19597C05"/>
    <w:rsid w:val="1B593EEC"/>
    <w:rsid w:val="1BB71917"/>
    <w:rsid w:val="1EDB10BC"/>
    <w:rsid w:val="1F707A57"/>
    <w:rsid w:val="234C07DB"/>
    <w:rsid w:val="26721F27"/>
    <w:rsid w:val="269009DE"/>
    <w:rsid w:val="2AF66161"/>
    <w:rsid w:val="2AFC2AE6"/>
    <w:rsid w:val="2B5F7337"/>
    <w:rsid w:val="2E5E24D1"/>
    <w:rsid w:val="300246FB"/>
    <w:rsid w:val="30F5689F"/>
    <w:rsid w:val="31F328BC"/>
    <w:rsid w:val="33EA7980"/>
    <w:rsid w:val="38AD71CE"/>
    <w:rsid w:val="38E5105E"/>
    <w:rsid w:val="3B5322AF"/>
    <w:rsid w:val="3E952BDE"/>
    <w:rsid w:val="3F740A45"/>
    <w:rsid w:val="41F540C0"/>
    <w:rsid w:val="429171E1"/>
    <w:rsid w:val="4292427E"/>
    <w:rsid w:val="43AF4742"/>
    <w:rsid w:val="45A8769B"/>
    <w:rsid w:val="45D16BF2"/>
    <w:rsid w:val="460C7C2A"/>
    <w:rsid w:val="47721D0E"/>
    <w:rsid w:val="487F1E31"/>
    <w:rsid w:val="4ABA2818"/>
    <w:rsid w:val="4C796996"/>
    <w:rsid w:val="4E0C2A46"/>
    <w:rsid w:val="4E86700B"/>
    <w:rsid w:val="50245B70"/>
    <w:rsid w:val="516A3A56"/>
    <w:rsid w:val="5257222D"/>
    <w:rsid w:val="5A4237C2"/>
    <w:rsid w:val="5B0D3DD0"/>
    <w:rsid w:val="5F245B8C"/>
    <w:rsid w:val="5FEB2206"/>
    <w:rsid w:val="60E774E9"/>
    <w:rsid w:val="618B1EF3"/>
    <w:rsid w:val="64B204D8"/>
    <w:rsid w:val="73AF6BEA"/>
    <w:rsid w:val="74B50B2B"/>
    <w:rsid w:val="77B33DAF"/>
    <w:rsid w:val="7C751310"/>
    <w:rsid w:val="7D1E2619"/>
    <w:rsid w:val="7D3F20B7"/>
    <w:rsid w:val="7F2C2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/>
    </w:rPr>
  </w:style>
  <w:style w:type="character" w:default="1" w:styleId="12">
    <w:name w:val="Default Paragraph Font"/>
    <w:qFormat/>
    <w:uiPriority w:val="1"/>
  </w:style>
  <w:style w:type="table" w:default="1" w:styleId="10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  <w:rPr>
      <w:rFonts w:ascii="Calibri" w:hAnsi="Calibri" w:cs="黑体"/>
    </w:rPr>
  </w:style>
  <w:style w:type="paragraph" w:styleId="4">
    <w:name w:val="Body Text"/>
    <w:basedOn w:val="1"/>
    <w:next w:val="1"/>
    <w:qFormat/>
    <w:uiPriority w:val="0"/>
    <w:pPr>
      <w:widowControl/>
      <w:spacing w:line="360" w:lineRule="auto"/>
    </w:pPr>
    <w:rPr>
      <w:color w:val="FF0000"/>
    </w:rPr>
  </w:style>
  <w:style w:type="paragraph" w:styleId="5">
    <w:name w:val="Body Text Indent"/>
    <w:basedOn w:val="1"/>
    <w:qFormat/>
    <w:uiPriority w:val="0"/>
    <w:pPr>
      <w:spacing w:line="200" w:lineRule="exact"/>
      <w:ind w:firstLine="301"/>
    </w:pPr>
    <w:rPr>
      <w:rFonts w:ascii="宋体" w:hAnsi="Courier New"/>
      <w:spacing w:val="-4"/>
      <w:sz w:val="18"/>
      <w:szCs w:val="20"/>
    </w:rPr>
  </w:style>
  <w:style w:type="paragraph" w:styleId="6">
    <w:name w:val="Plain Text"/>
    <w:basedOn w:val="1"/>
    <w:qFormat/>
    <w:uiPriority w:val="0"/>
    <w:rPr>
      <w:rFonts w:ascii="宋体" w:hAnsi="Courier New"/>
      <w:szCs w:val="20"/>
    </w:rPr>
  </w:style>
  <w:style w:type="paragraph" w:styleId="7">
    <w:name w:val="Balloon Text"/>
    <w:basedOn w:val="1"/>
    <w:link w:val="21"/>
    <w:qFormat/>
    <w:uiPriority w:val="0"/>
    <w:rPr>
      <w:sz w:val="18"/>
      <w:szCs w:val="18"/>
    </w:rPr>
  </w:style>
  <w:style w:type="paragraph" w:styleId="8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1">
    <w:name w:val="Table Grid"/>
    <w:basedOn w:val="10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Hyperlink"/>
    <w:basedOn w:val="12"/>
    <w:qFormat/>
    <w:uiPriority w:val="0"/>
    <w:rPr>
      <w:color w:val="0000FF"/>
      <w:u w:val="single"/>
    </w:rPr>
  </w:style>
  <w:style w:type="paragraph" w:customStyle="1" w:styleId="15">
    <w:name w:val="无间隔1"/>
    <w:qFormat/>
    <w:uiPriority w:val="1"/>
    <w:pPr>
      <w:widowControl w:val="0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6">
    <w:name w:val="无间隔11"/>
    <w:qFormat/>
    <w:uiPriority w:val="1"/>
    <w:pPr>
      <w:widowControl w:val="0"/>
    </w:pPr>
    <w:rPr>
      <w:rFonts w:ascii="Times New Roman" w:hAnsi="Times New Roman" w:eastAsia="宋体" w:cs="Times New Roman"/>
      <w:szCs w:val="24"/>
      <w:lang w:val="en-US" w:eastAsia="zh-CN" w:bidi="ar-SA"/>
    </w:rPr>
  </w:style>
  <w:style w:type="character" w:customStyle="1" w:styleId="17">
    <w:name w:val="页眉 Char"/>
    <w:basedOn w:val="12"/>
    <w:link w:val="9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8">
    <w:name w:val="页脚 Char"/>
    <w:basedOn w:val="12"/>
    <w:link w:val="8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19">
    <w:name w:val="正文 首行缩进 + 行距: 1.5 倍行距 + 首行缩进:  2 字符"/>
    <w:basedOn w:val="1"/>
    <w:link w:val="20"/>
    <w:qFormat/>
    <w:uiPriority w:val="0"/>
    <w:pPr>
      <w:spacing w:line="360" w:lineRule="auto"/>
      <w:jc w:val="left"/>
    </w:pPr>
    <w:rPr>
      <w:rFonts w:ascii="宋体" w:hAnsi="宋体"/>
      <w:kern w:val="0"/>
      <w:sz w:val="24"/>
      <w:szCs w:val="20"/>
      <w:lang w:val="zh-CN"/>
    </w:rPr>
  </w:style>
  <w:style w:type="character" w:customStyle="1" w:styleId="20">
    <w:name w:val="正文 首行缩进 + 行距: 1.5 倍行距 + 首行缩进:  2 字符 Char"/>
    <w:link w:val="19"/>
    <w:qFormat/>
    <w:uiPriority w:val="0"/>
    <w:rPr>
      <w:rFonts w:ascii="宋体" w:hAnsi="宋体" w:eastAsia="宋体" w:cs="Times New Roman"/>
      <w:sz w:val="24"/>
      <w:lang w:val="zh-CN"/>
    </w:rPr>
  </w:style>
  <w:style w:type="character" w:customStyle="1" w:styleId="21">
    <w:name w:val="批注框文本 Char"/>
    <w:basedOn w:val="12"/>
    <w:link w:val="7"/>
    <w:qFormat/>
    <w:uiPriority w:val="0"/>
    <w:rPr>
      <w:kern w:val="2"/>
      <w:sz w:val="18"/>
      <w:szCs w:val="18"/>
    </w:rPr>
  </w:style>
  <w:style w:type="character" w:customStyle="1" w:styleId="22">
    <w:name w:val="font41"/>
    <w:basedOn w:val="12"/>
    <w:qFormat/>
    <w:uiPriority w:val="0"/>
    <w:rPr>
      <w:rFonts w:ascii="Calibri" w:hAnsi="Calibri" w:cs="Calibri"/>
      <w:color w:val="000000"/>
      <w:sz w:val="22"/>
      <w:szCs w:val="22"/>
      <w:u w:val="none"/>
    </w:rPr>
  </w:style>
  <w:style w:type="character" w:customStyle="1" w:styleId="23">
    <w:name w:val="font01"/>
    <w:basedOn w:val="1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4">
    <w:name w:val="font21"/>
    <w:basedOn w:val="12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25">
    <w:name w:val="font51"/>
    <w:basedOn w:val="12"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  <w:style w:type="character" w:customStyle="1" w:styleId="26">
    <w:name w:val="font61"/>
    <w:basedOn w:val="12"/>
    <w:qFormat/>
    <w:uiPriority w:val="0"/>
    <w:rPr>
      <w:rFonts w:ascii="Arial" w:hAnsi="Arial" w:cs="Arial"/>
      <w:color w:val="000000"/>
      <w:sz w:val="24"/>
      <w:szCs w:val="24"/>
      <w:u w:val="none"/>
    </w:rPr>
  </w:style>
  <w:style w:type="character" w:customStyle="1" w:styleId="27">
    <w:name w:val="font31"/>
    <w:basedOn w:val="1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8">
    <w:name w:val="NormalCharacter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Sinopec</Company>
  <Pages>7</Pages>
  <Words>2631</Words>
  <Characters>2800</Characters>
  <Paragraphs>102</Paragraphs>
  <TotalTime>5</TotalTime>
  <ScaleCrop>false</ScaleCrop>
  <LinksUpToDate>false</LinksUpToDate>
  <CharactersWithSpaces>2840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2024-05-21T08:47:00Z</dcterms:created>
  <dc:creator>金榜题名</dc:creator>
  <cp:lastModifiedBy>yyang</cp:lastModifiedBy>
  <cp:lastPrinted>2024-05-24T02:59:00Z</cp:lastPrinted>
  <dcterms:modified xsi:type="dcterms:W3CDTF">2025-11-14T02:58:57Z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6834D5B2312643999063A22EED53B8D2_13</vt:lpwstr>
  </property>
  <property fmtid="{D5CDD505-2E9C-101B-9397-08002B2CF9AE}" pid="4" name="KSOTemplateDocerSaveRecord">
    <vt:lpwstr>eyJoZGlkIjoiNDk0MjMxYzMyNjIzMDgwNzM3NjJkNzQ2MTIwNjYzMjQiLCJ1c2VySWQiOiIxMTMyMzkzMDU3In0=</vt:lpwstr>
  </property>
</Properties>
</file>