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43923">
      <w:pPr>
        <w:jc w:val="center"/>
        <w:rPr>
          <w:rFonts w:hint="default" w:ascii="宋体" w:hAnsi="宋体" w:eastAsia="宋体" w:cs="宋体"/>
          <w:b/>
          <w:sz w:val="36"/>
          <w:szCs w:val="36"/>
          <w:lang w:val="en-US" w:eastAsia="zh-CN"/>
        </w:rPr>
      </w:pPr>
      <w:r>
        <w:rPr>
          <w:rFonts w:hint="eastAsia" w:ascii="宋体" w:hAnsi="宋体" w:eastAsia="宋体" w:cs="宋体"/>
          <w:b/>
          <w:sz w:val="36"/>
          <w:szCs w:val="36"/>
          <w:lang w:val="en-US" w:eastAsia="zh-CN"/>
        </w:rPr>
        <w:t>四川省成都市财贸职业高级中学校</w:t>
      </w:r>
    </w:p>
    <w:p w14:paraId="2CEAE2C0">
      <w:pPr>
        <w:jc w:val="center"/>
        <w:rPr>
          <w:rFonts w:hint="eastAsia" w:ascii="宋体" w:hAnsi="宋体" w:eastAsia="宋体" w:cs="宋体"/>
          <w:sz w:val="22"/>
          <w:szCs w:val="22"/>
        </w:rPr>
      </w:pPr>
      <w:r>
        <w:rPr>
          <w:rFonts w:hint="eastAsia" w:ascii="宋体" w:hAnsi="宋体" w:eastAsia="宋体" w:cs="宋体"/>
          <w:b/>
          <w:sz w:val="36"/>
          <w:szCs w:val="36"/>
          <w:lang w:eastAsia="zh-CN"/>
        </w:rPr>
        <w:t>关于</w:t>
      </w:r>
      <w:r>
        <w:rPr>
          <w:rFonts w:hint="eastAsia" w:ascii="宋体" w:hAnsi="宋体" w:eastAsia="宋体" w:cs="宋体"/>
          <w:b/>
          <w:sz w:val="36"/>
          <w:szCs w:val="36"/>
          <w:lang w:val="en-US" w:eastAsia="zh-CN"/>
        </w:rPr>
        <w:t>财贸职高新校区（职教园区）中心机房设备采购</w:t>
      </w:r>
      <w:r>
        <w:rPr>
          <w:rFonts w:hint="eastAsia" w:ascii="宋体" w:hAnsi="宋体" w:eastAsia="宋体" w:cs="宋体"/>
          <w:b/>
          <w:sz w:val="36"/>
          <w:szCs w:val="36"/>
        </w:rPr>
        <w:t>的</w:t>
      </w:r>
      <w:r>
        <w:rPr>
          <w:rFonts w:hint="eastAsia" w:ascii="宋体" w:hAnsi="宋体" w:eastAsia="宋体" w:cs="宋体"/>
          <w:b/>
          <w:sz w:val="36"/>
          <w:szCs w:val="36"/>
          <w:lang w:eastAsia="zh-CN"/>
        </w:rPr>
        <w:t>市场</w:t>
      </w:r>
      <w:r>
        <w:rPr>
          <w:rFonts w:hint="eastAsia" w:ascii="宋体" w:hAnsi="宋体" w:eastAsia="宋体" w:cs="宋体"/>
          <w:b/>
          <w:sz w:val="36"/>
          <w:szCs w:val="36"/>
        </w:rPr>
        <w:t>询价函</w:t>
      </w:r>
    </w:p>
    <w:p w14:paraId="5A1DE748">
      <w:pPr>
        <w:spacing w:line="240" w:lineRule="auto"/>
        <w:rPr>
          <w:rFonts w:hint="eastAsia" w:ascii="宋体" w:hAnsi="宋体" w:eastAsia="宋体" w:cs="宋体"/>
          <w:sz w:val="24"/>
          <w:szCs w:val="24"/>
        </w:rPr>
      </w:pPr>
      <w:r>
        <w:rPr>
          <w:rFonts w:hint="eastAsia" w:ascii="宋体" w:hAnsi="宋体" w:eastAsia="宋体" w:cs="宋体"/>
          <w:sz w:val="24"/>
          <w:szCs w:val="24"/>
          <w:lang w:eastAsia="zh-CN"/>
        </w:rPr>
        <w:t>致厂家、供应商</w:t>
      </w:r>
      <w:r>
        <w:rPr>
          <w:rFonts w:hint="eastAsia" w:ascii="宋体" w:hAnsi="宋体" w:eastAsia="宋体" w:cs="宋体"/>
          <w:sz w:val="24"/>
          <w:szCs w:val="24"/>
        </w:rPr>
        <w:t>：</w:t>
      </w:r>
    </w:p>
    <w:p w14:paraId="62E4235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因</w:t>
      </w:r>
      <w:r>
        <w:rPr>
          <w:rFonts w:hint="eastAsia" w:ascii="宋体" w:hAnsi="宋体" w:eastAsia="宋体" w:cs="宋体"/>
          <w:sz w:val="24"/>
          <w:szCs w:val="24"/>
          <w:lang w:val="en-US" w:eastAsia="zh-CN"/>
        </w:rPr>
        <w:t>我校</w:t>
      </w:r>
      <w:r>
        <w:rPr>
          <w:rFonts w:hint="eastAsia" w:ascii="宋体" w:hAnsi="宋体" w:eastAsia="宋体" w:cs="宋体"/>
          <w:sz w:val="24"/>
          <w:szCs w:val="24"/>
          <w:u w:val="single"/>
          <w:lang w:val="en-US" w:eastAsia="zh-CN"/>
        </w:rPr>
        <w:t>财贸职高新校区（职教园区）中心机房设备采购</w:t>
      </w:r>
      <w:r>
        <w:rPr>
          <w:rFonts w:hint="eastAsia" w:ascii="宋体" w:hAnsi="宋体" w:eastAsia="宋体" w:cs="宋体"/>
          <w:sz w:val="24"/>
          <w:szCs w:val="24"/>
        </w:rPr>
        <w:t>项目需要，</w:t>
      </w:r>
      <w:r>
        <w:rPr>
          <w:rFonts w:hint="eastAsia" w:ascii="宋体" w:hAnsi="宋体" w:eastAsia="宋体" w:cs="宋体"/>
          <w:sz w:val="24"/>
          <w:szCs w:val="24"/>
          <w:lang w:eastAsia="zh-CN"/>
        </w:rPr>
        <w:t>为充分了解相关设备市场定价，我</w:t>
      </w:r>
      <w:r>
        <w:rPr>
          <w:rFonts w:hint="eastAsia" w:ascii="宋体" w:hAnsi="宋体" w:eastAsia="宋体" w:cs="宋体"/>
          <w:sz w:val="24"/>
          <w:szCs w:val="24"/>
          <w:lang w:val="en-US" w:eastAsia="zh-CN"/>
        </w:rPr>
        <w:t>校</w:t>
      </w:r>
      <w:r>
        <w:rPr>
          <w:rFonts w:hint="eastAsia" w:ascii="宋体" w:hAnsi="宋体" w:eastAsia="宋体" w:cs="宋体"/>
          <w:sz w:val="24"/>
          <w:szCs w:val="24"/>
        </w:rPr>
        <w:t>现向各</w:t>
      </w:r>
      <w:r>
        <w:rPr>
          <w:rFonts w:hint="eastAsia" w:ascii="宋体" w:hAnsi="宋体" w:eastAsia="宋体" w:cs="宋体"/>
          <w:sz w:val="24"/>
          <w:szCs w:val="24"/>
          <w:lang w:eastAsia="zh-CN"/>
        </w:rPr>
        <w:t>供应商</w:t>
      </w:r>
      <w:r>
        <w:rPr>
          <w:rFonts w:hint="eastAsia" w:ascii="宋体" w:hAnsi="宋体" w:eastAsia="宋体" w:cs="宋体"/>
          <w:sz w:val="24"/>
          <w:szCs w:val="24"/>
        </w:rPr>
        <w:t>进行市场</w:t>
      </w:r>
      <w:r>
        <w:rPr>
          <w:rFonts w:hint="eastAsia" w:ascii="宋体" w:hAnsi="宋体" w:eastAsia="宋体" w:cs="宋体"/>
          <w:sz w:val="24"/>
          <w:szCs w:val="24"/>
          <w:lang w:eastAsia="zh-CN"/>
        </w:rPr>
        <w:t>询价</w:t>
      </w:r>
      <w:r>
        <w:rPr>
          <w:rFonts w:hint="eastAsia" w:ascii="宋体" w:hAnsi="宋体" w:eastAsia="宋体" w:cs="宋体"/>
          <w:sz w:val="24"/>
          <w:szCs w:val="24"/>
        </w:rPr>
        <w:t>，现欢迎各</w:t>
      </w:r>
      <w:r>
        <w:rPr>
          <w:rFonts w:hint="eastAsia" w:ascii="宋体" w:hAnsi="宋体" w:eastAsia="宋体" w:cs="宋体"/>
          <w:sz w:val="24"/>
          <w:szCs w:val="24"/>
          <w:lang w:eastAsia="zh-CN"/>
        </w:rPr>
        <w:t>潜在意向供应商前来</w:t>
      </w:r>
      <w:r>
        <w:rPr>
          <w:rFonts w:hint="eastAsia" w:ascii="宋体" w:hAnsi="宋体" w:eastAsia="宋体" w:cs="宋体"/>
          <w:sz w:val="24"/>
          <w:szCs w:val="24"/>
        </w:rPr>
        <w:t>提交</w:t>
      </w:r>
      <w:r>
        <w:rPr>
          <w:rFonts w:hint="eastAsia" w:ascii="宋体" w:hAnsi="宋体" w:eastAsia="宋体" w:cs="宋体"/>
          <w:sz w:val="24"/>
          <w:szCs w:val="24"/>
          <w:lang w:eastAsia="zh-CN"/>
        </w:rPr>
        <w:t>密封的报价资料</w:t>
      </w:r>
      <w:r>
        <w:rPr>
          <w:rFonts w:hint="eastAsia" w:ascii="宋体" w:hAnsi="宋体" w:eastAsia="宋体" w:cs="宋体"/>
          <w:sz w:val="24"/>
          <w:szCs w:val="24"/>
        </w:rPr>
        <w:t>。</w:t>
      </w:r>
      <w:r>
        <w:rPr>
          <w:rFonts w:hint="eastAsia" w:ascii="宋体" w:hAnsi="宋体" w:eastAsia="宋体" w:cs="宋体"/>
          <w:b/>
          <w:bCs/>
          <w:sz w:val="24"/>
          <w:szCs w:val="24"/>
          <w:lang w:eastAsia="zh-CN"/>
        </w:rPr>
        <w:t>该报价资料仅作为采购人采购时最高限价参考定价使用</w:t>
      </w:r>
      <w:r>
        <w:rPr>
          <w:rFonts w:hint="eastAsia" w:ascii="宋体" w:hAnsi="宋体" w:eastAsia="宋体" w:cs="宋体"/>
          <w:sz w:val="24"/>
          <w:szCs w:val="24"/>
          <w:lang w:eastAsia="zh-CN"/>
        </w:rPr>
        <w:t>。</w:t>
      </w:r>
    </w:p>
    <w:p w14:paraId="705B34F2">
      <w:pPr>
        <w:numPr>
          <w:ilvl w:val="0"/>
          <w:numId w:val="0"/>
        </w:numPr>
        <w:spacing w:line="240" w:lineRule="auto"/>
        <w:ind w:firstLine="480" w:firstLineChars="200"/>
        <w:rPr>
          <w:rFonts w:hint="default" w:ascii="宋体" w:hAnsi="宋体" w:eastAsia="宋体" w:cs="宋体"/>
          <w:sz w:val="24"/>
          <w:szCs w:val="24"/>
          <w:lang w:val="en-US" w:eastAsia="zh-CN" w:bidi="ar-SA"/>
        </w:rPr>
      </w:pPr>
      <w:r>
        <w:rPr>
          <w:rFonts w:hint="eastAsia" w:ascii="宋体" w:hAnsi="宋体" w:eastAsia="宋体" w:cs="宋体"/>
          <w:sz w:val="24"/>
          <w:szCs w:val="24"/>
          <w:lang w:val="en-US" w:eastAsia="zh-CN" w:bidi="ar-SA"/>
        </w:rPr>
        <w:t>一、中心机房图：详见附件1</w:t>
      </w:r>
    </w:p>
    <w:p w14:paraId="2ECD0FD7">
      <w:pPr>
        <w:numPr>
          <w:ilvl w:val="0"/>
          <w:numId w:val="0"/>
        </w:numPr>
        <w:spacing w:line="240" w:lineRule="auto"/>
        <w:ind w:firstLine="960" w:firstLineChars="400"/>
        <w:rPr>
          <w:rFonts w:hint="eastAsia" w:ascii="宋体" w:hAnsi="宋体" w:eastAsia="宋体" w:cs="宋体"/>
          <w:sz w:val="24"/>
          <w:szCs w:val="24"/>
          <w:lang w:val="en-US" w:eastAsia="zh-CN"/>
        </w:rPr>
      </w:pPr>
      <w:r>
        <w:rPr>
          <w:rFonts w:hint="eastAsia" w:ascii="宋体" w:hAnsi="宋体" w:eastAsia="宋体" w:cs="宋体"/>
          <w:sz w:val="24"/>
          <w:szCs w:val="24"/>
          <w:lang w:eastAsia="zh-CN"/>
        </w:rPr>
        <w:t>设备规格型号、数量：详见附件</w:t>
      </w:r>
      <w:r>
        <w:rPr>
          <w:rFonts w:hint="eastAsia" w:ascii="宋体" w:hAnsi="宋体" w:eastAsia="宋体" w:cs="宋体"/>
          <w:sz w:val="24"/>
          <w:szCs w:val="24"/>
          <w:lang w:val="en-US" w:eastAsia="zh-CN"/>
        </w:rPr>
        <w:t>3</w:t>
      </w:r>
    </w:p>
    <w:p w14:paraId="32395D87">
      <w:pPr>
        <w:numPr>
          <w:ilvl w:val="0"/>
          <w:numId w:val="0"/>
        </w:num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、报价须知</w:t>
      </w:r>
    </w:p>
    <w:p w14:paraId="51FC304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1.报价资料的组成应按我司提供清单内容进行报价并加盖单位公章，报价应包含设备费用、</w:t>
      </w:r>
      <w:r>
        <w:rPr>
          <w:rFonts w:hint="eastAsia" w:ascii="宋体" w:hAnsi="宋体" w:eastAsia="宋体" w:cs="宋体"/>
          <w:sz w:val="24"/>
          <w:szCs w:val="24"/>
          <w:lang w:val="en-US" w:eastAsia="zh-CN"/>
        </w:rPr>
        <w:t>运输费、装卸费、增值税费、培训、质保、售后服务</w:t>
      </w:r>
      <w:r>
        <w:rPr>
          <w:rFonts w:hint="eastAsia" w:ascii="宋体" w:hAnsi="宋体" w:eastAsia="宋体" w:cs="宋体"/>
          <w:sz w:val="24"/>
          <w:szCs w:val="24"/>
          <w:lang w:eastAsia="zh-CN"/>
        </w:rPr>
        <w:t>等与项目有关的一切费用；</w:t>
      </w:r>
    </w:p>
    <w:p w14:paraId="4CB2BDA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.报价资料须提交以下：详见报价函（附件</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、清单报价表（附件</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、营业执照复印件，上述材料均需加盖报价单位公章（纸质材料2份，电子版1份）；</w:t>
      </w:r>
    </w:p>
    <w:p w14:paraId="66B3F0C2">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3.报价资料必须密封。</w:t>
      </w:r>
    </w:p>
    <w:p w14:paraId="559226D3">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三</w:t>
      </w:r>
      <w:r>
        <w:rPr>
          <w:rFonts w:hint="eastAsia" w:ascii="宋体" w:hAnsi="宋体" w:eastAsia="宋体" w:cs="宋体"/>
          <w:sz w:val="24"/>
          <w:szCs w:val="24"/>
          <w:lang w:eastAsia="zh-CN"/>
        </w:rPr>
        <w:t>、报价书提供时间及方式：</w:t>
      </w:r>
    </w:p>
    <w:p w14:paraId="13536677">
      <w:pPr>
        <w:spacing w:line="24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报价资料提交截止时间：202</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日</w:t>
      </w:r>
      <w:r>
        <w:rPr>
          <w:rFonts w:hint="eastAsia" w:ascii="宋体" w:hAnsi="宋体" w:eastAsia="宋体" w:cs="宋体"/>
          <w:sz w:val="24"/>
          <w:szCs w:val="24"/>
          <w:lang w:val="en-US" w:eastAsia="zh-CN"/>
        </w:rPr>
        <w:t>18：00前</w:t>
      </w:r>
    </w:p>
    <w:p w14:paraId="7AE4000A">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报价资料递交方式（可通过</w:t>
      </w:r>
      <w:r>
        <w:rPr>
          <w:rFonts w:hint="eastAsia" w:ascii="宋体" w:hAnsi="宋体" w:eastAsia="宋体" w:cs="宋体"/>
          <w:b/>
          <w:bCs/>
          <w:sz w:val="24"/>
          <w:szCs w:val="24"/>
          <w:lang w:eastAsia="zh-CN"/>
        </w:rPr>
        <w:t>邮寄</w:t>
      </w:r>
      <w:r>
        <w:rPr>
          <w:rFonts w:hint="eastAsia" w:ascii="宋体" w:hAnsi="宋体" w:eastAsia="宋体" w:cs="宋体"/>
          <w:sz w:val="24"/>
          <w:szCs w:val="24"/>
          <w:lang w:eastAsia="zh-CN"/>
        </w:rPr>
        <w:t>或</w:t>
      </w:r>
      <w:r>
        <w:rPr>
          <w:rFonts w:hint="eastAsia" w:ascii="宋体" w:hAnsi="宋体" w:eastAsia="宋体" w:cs="宋体"/>
          <w:b/>
          <w:bCs/>
          <w:sz w:val="24"/>
          <w:szCs w:val="24"/>
          <w:lang w:eastAsia="zh-CN"/>
        </w:rPr>
        <w:t>现场</w:t>
      </w:r>
      <w:r>
        <w:rPr>
          <w:rFonts w:hint="eastAsia" w:ascii="宋体" w:hAnsi="宋体" w:eastAsia="宋体" w:cs="宋体"/>
          <w:b w:val="0"/>
          <w:bCs w:val="0"/>
          <w:sz w:val="24"/>
          <w:szCs w:val="24"/>
          <w:lang w:eastAsia="zh-CN"/>
        </w:rPr>
        <w:t>递交</w:t>
      </w:r>
      <w:r>
        <w:rPr>
          <w:rFonts w:hint="eastAsia" w:ascii="宋体" w:hAnsi="宋体" w:eastAsia="宋体" w:cs="宋体"/>
          <w:sz w:val="24"/>
          <w:szCs w:val="24"/>
          <w:lang w:eastAsia="zh-CN"/>
        </w:rPr>
        <w:t>）</w:t>
      </w:r>
    </w:p>
    <w:p w14:paraId="5B35D30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递交地址：</w:t>
      </w:r>
      <w:r>
        <w:rPr>
          <w:rFonts w:hint="eastAsia" w:ascii="宋体" w:hAnsi="宋体" w:eastAsia="宋体" w:cs="宋体"/>
          <w:sz w:val="24"/>
          <w:szCs w:val="24"/>
          <w:lang w:val="en-US" w:eastAsia="zh-CN"/>
        </w:rPr>
        <w:t>成都市金牛区西安路枣子巷26号</w:t>
      </w:r>
    </w:p>
    <w:p w14:paraId="3B6E273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联系人：</w:t>
      </w:r>
      <w:r>
        <w:rPr>
          <w:rFonts w:hint="eastAsia" w:ascii="宋体" w:hAnsi="宋体" w:eastAsia="宋体" w:cs="宋体"/>
          <w:sz w:val="24"/>
          <w:szCs w:val="24"/>
          <w:lang w:val="en-US" w:eastAsia="zh-CN"/>
        </w:rPr>
        <w:t>姚老师</w:t>
      </w:r>
    </w:p>
    <w:p w14:paraId="7209900E">
      <w:pPr>
        <w:spacing w:line="240" w:lineRule="auto"/>
        <w:ind w:firstLine="720" w:firstLineChars="300"/>
        <w:rPr>
          <w:rFonts w:hint="eastAsia" w:ascii="宋体" w:hAnsi="宋体" w:eastAsia="宋体" w:cs="宋体"/>
          <w:sz w:val="24"/>
          <w:szCs w:val="24"/>
          <w:lang w:eastAsia="zh-CN"/>
        </w:rPr>
      </w:pPr>
      <w:r>
        <w:rPr>
          <w:rFonts w:hint="eastAsia" w:ascii="宋体" w:hAnsi="宋体" w:eastAsia="宋体" w:cs="宋体"/>
          <w:sz w:val="24"/>
          <w:szCs w:val="24"/>
          <w:lang w:eastAsia="zh-CN"/>
        </w:rPr>
        <w:t>联系方法：1</w:t>
      </w:r>
      <w:r>
        <w:rPr>
          <w:rFonts w:hint="eastAsia" w:ascii="宋体" w:hAnsi="宋体" w:eastAsia="宋体" w:cs="宋体"/>
          <w:sz w:val="24"/>
          <w:szCs w:val="24"/>
          <w:lang w:val="en-US" w:eastAsia="zh-CN"/>
        </w:rPr>
        <w:t>3980907626</w:t>
      </w:r>
    </w:p>
    <w:p w14:paraId="5C415DE7">
      <w:pPr>
        <w:pStyle w:val="1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p>
    <w:p w14:paraId="5F1D648D">
      <w:pPr>
        <w:pStyle w:val="1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cs="宋体"/>
          <w:sz w:val="24"/>
          <w:szCs w:val="24"/>
          <w:lang w:val="en-US" w:eastAsia="zh-CN"/>
        </w:rPr>
      </w:pPr>
      <w:r>
        <w:rPr>
          <w:rFonts w:hint="eastAsia" w:cs="宋体"/>
          <w:sz w:val="24"/>
          <w:szCs w:val="24"/>
          <w:lang w:val="en-US" w:eastAsia="zh-CN"/>
        </w:rPr>
        <w:t>四川省成都市财贸职业高级中学校</w:t>
      </w:r>
    </w:p>
    <w:p w14:paraId="016E9296">
      <w:pPr>
        <w:pStyle w:val="1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202</w:t>
      </w:r>
      <w:r>
        <w:rPr>
          <w:rFonts w:hint="eastAsia" w:cs="宋体"/>
          <w:sz w:val="24"/>
          <w:szCs w:val="24"/>
          <w:lang w:val="en-US" w:eastAsia="zh-CN"/>
        </w:rPr>
        <w:t>5</w:t>
      </w:r>
      <w:r>
        <w:rPr>
          <w:rFonts w:hint="eastAsia" w:ascii="宋体" w:hAnsi="宋体" w:eastAsia="宋体" w:cs="宋体"/>
          <w:sz w:val="24"/>
          <w:szCs w:val="24"/>
          <w:lang w:eastAsia="zh-CN"/>
        </w:rPr>
        <w:t>年</w:t>
      </w:r>
      <w:r>
        <w:rPr>
          <w:rFonts w:hint="eastAsia" w:cs="宋体"/>
          <w:sz w:val="24"/>
          <w:szCs w:val="24"/>
          <w:lang w:val="en-US" w:eastAsia="zh-CN"/>
        </w:rPr>
        <w:t>08</w:t>
      </w:r>
      <w:r>
        <w:rPr>
          <w:rFonts w:hint="eastAsia" w:ascii="宋体" w:hAnsi="宋体" w:eastAsia="宋体" w:cs="宋体"/>
          <w:sz w:val="24"/>
          <w:szCs w:val="24"/>
          <w:lang w:eastAsia="zh-CN"/>
        </w:rPr>
        <w:t>月</w:t>
      </w:r>
      <w:r>
        <w:rPr>
          <w:rFonts w:hint="eastAsia" w:cs="宋体"/>
          <w:sz w:val="24"/>
          <w:szCs w:val="24"/>
          <w:lang w:val="en-US" w:eastAsia="zh-CN"/>
        </w:rPr>
        <w:t>20</w:t>
      </w:r>
      <w:r>
        <w:rPr>
          <w:rFonts w:hint="eastAsia" w:ascii="宋体" w:hAnsi="宋体" w:eastAsia="宋体" w:cs="宋体"/>
          <w:sz w:val="24"/>
          <w:szCs w:val="24"/>
          <w:lang w:eastAsia="zh-CN"/>
        </w:rPr>
        <w:t>日</w:t>
      </w:r>
    </w:p>
    <w:p w14:paraId="4A1EBA52">
      <w:pPr>
        <w:rPr>
          <w:rFonts w:hint="eastAsia" w:ascii="宋体" w:hAnsi="宋体" w:eastAsia="宋体" w:cs="宋体"/>
          <w:sz w:val="24"/>
          <w:szCs w:val="24"/>
          <w:lang w:eastAsia="zh-CN"/>
        </w:rPr>
      </w:pPr>
      <w:r>
        <w:rPr>
          <w:rFonts w:hint="eastAsia" w:ascii="宋体" w:hAnsi="宋体" w:eastAsia="宋体" w:cs="宋体"/>
          <w:sz w:val="24"/>
          <w:szCs w:val="24"/>
          <w:lang w:eastAsia="zh-CN"/>
        </w:rPr>
        <w:br w:type="page"/>
      </w:r>
    </w:p>
    <w:p w14:paraId="2EC429B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rPr>
        <w:t>附件</w:t>
      </w:r>
      <w:r>
        <w:rPr>
          <w:rFonts w:hint="eastAsia" w:ascii="宋体" w:hAnsi="宋体" w:eastAsia="宋体" w:cs="宋体"/>
          <w:kern w:val="2"/>
          <w:sz w:val="28"/>
          <w:szCs w:val="28"/>
          <w:lang w:val="en-US" w:eastAsia="zh-CN"/>
        </w:rPr>
        <w:t>1</w:t>
      </w:r>
      <w:r>
        <w:rPr>
          <w:rFonts w:hint="eastAsia" w:ascii="宋体" w:hAnsi="宋体" w:eastAsia="宋体" w:cs="宋体"/>
          <w:kern w:val="2"/>
          <w:sz w:val="28"/>
          <w:szCs w:val="28"/>
        </w:rPr>
        <w:t>：</w:t>
      </w:r>
      <w:r>
        <w:rPr>
          <w:rFonts w:hint="eastAsia" w:ascii="宋体" w:hAnsi="宋体" w:eastAsia="宋体" w:cs="宋体"/>
          <w:kern w:val="2"/>
          <w:sz w:val="28"/>
          <w:szCs w:val="28"/>
          <w:lang w:val="en-US" w:eastAsia="zh-CN"/>
        </w:rPr>
        <w:t>中心机房图</w:t>
      </w:r>
    </w:p>
    <w:p w14:paraId="1C6B69CE">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drawing>
          <wp:inline distT="0" distB="0" distL="114300" distR="114300">
            <wp:extent cx="5859145" cy="3185795"/>
            <wp:effectExtent l="0" t="0" r="8255" b="14605"/>
            <wp:docPr id="3" name="图片 3" descr="1fd2d0d6-7c76-4d2d-b682-d1ba140a4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fd2d0d6-7c76-4d2d-b682-d1ba140a4422"/>
                    <pic:cNvPicPr>
                      <a:picLocks noChangeAspect="1"/>
                    </pic:cNvPicPr>
                  </pic:nvPicPr>
                  <pic:blipFill>
                    <a:blip r:embed="rId7"/>
                    <a:stretch>
                      <a:fillRect/>
                    </a:stretch>
                  </pic:blipFill>
                  <pic:spPr>
                    <a:xfrm>
                      <a:off x="0" y="0"/>
                      <a:ext cx="5859145" cy="3185795"/>
                    </a:xfrm>
                    <a:prstGeom prst="rect">
                      <a:avLst/>
                    </a:prstGeom>
                  </pic:spPr>
                </pic:pic>
              </a:graphicData>
            </a:graphic>
          </wp:inline>
        </w:drawing>
      </w:r>
    </w:p>
    <w:p w14:paraId="3086DCB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drawing>
          <wp:inline distT="0" distB="0" distL="114300" distR="114300">
            <wp:extent cx="5862320" cy="2830830"/>
            <wp:effectExtent l="0" t="0" r="5080" b="7620"/>
            <wp:docPr id="4" name="图片 4" descr="896d25e1-f224-4673-9d8c-c1e29c5feb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96d25e1-f224-4673-9d8c-c1e29c5febef"/>
                    <pic:cNvPicPr>
                      <a:picLocks noChangeAspect="1"/>
                    </pic:cNvPicPr>
                  </pic:nvPicPr>
                  <pic:blipFill>
                    <a:blip r:embed="rId8"/>
                    <a:stretch>
                      <a:fillRect/>
                    </a:stretch>
                  </pic:blipFill>
                  <pic:spPr>
                    <a:xfrm>
                      <a:off x="0" y="0"/>
                      <a:ext cx="5862320" cy="2830830"/>
                    </a:xfrm>
                    <a:prstGeom prst="rect">
                      <a:avLst/>
                    </a:prstGeom>
                  </pic:spPr>
                </pic:pic>
              </a:graphicData>
            </a:graphic>
          </wp:inline>
        </w:drawing>
      </w:r>
    </w:p>
    <w:p w14:paraId="19FAB378">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p>
    <w:p w14:paraId="11173635">
      <w:pPr>
        <w:pStyle w:val="16"/>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p>
    <w:p w14:paraId="25756726">
      <w:pPr>
        <w:rPr>
          <w:rFonts w:hint="eastAsia" w:ascii="宋体" w:hAnsi="宋体" w:eastAsia="宋体" w:cs="宋体"/>
          <w:kern w:val="2"/>
          <w:sz w:val="28"/>
          <w:szCs w:val="28"/>
        </w:rPr>
      </w:pPr>
      <w:r>
        <w:rPr>
          <w:rFonts w:hint="eastAsia" w:ascii="宋体" w:hAnsi="宋体" w:eastAsia="宋体" w:cs="宋体"/>
          <w:kern w:val="2"/>
          <w:sz w:val="28"/>
          <w:szCs w:val="28"/>
        </w:rPr>
        <w:br w:type="page"/>
      </w:r>
    </w:p>
    <w:p w14:paraId="0FA2D7CC">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2"/>
          <w:sz w:val="28"/>
          <w:szCs w:val="28"/>
        </w:rPr>
      </w:pPr>
      <w:r>
        <w:rPr>
          <w:rFonts w:hint="eastAsia" w:ascii="宋体" w:hAnsi="宋体" w:eastAsia="宋体" w:cs="宋体"/>
          <w:kern w:val="2"/>
          <w:sz w:val="28"/>
          <w:szCs w:val="28"/>
        </w:rPr>
        <w:t>附件</w:t>
      </w:r>
      <w:r>
        <w:rPr>
          <w:rFonts w:hint="eastAsia" w:ascii="宋体" w:hAnsi="宋体" w:eastAsia="宋体" w:cs="宋体"/>
          <w:kern w:val="2"/>
          <w:sz w:val="28"/>
          <w:szCs w:val="28"/>
          <w:lang w:val="en-US" w:eastAsia="zh-CN"/>
        </w:rPr>
        <w:t>2</w:t>
      </w:r>
      <w:r>
        <w:rPr>
          <w:rFonts w:hint="eastAsia" w:ascii="宋体" w:hAnsi="宋体" w:eastAsia="宋体" w:cs="宋体"/>
          <w:kern w:val="2"/>
          <w:sz w:val="28"/>
          <w:szCs w:val="28"/>
        </w:rPr>
        <w:t>：</w:t>
      </w:r>
    </w:p>
    <w:p w14:paraId="1F31702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sz w:val="44"/>
          <w:szCs w:val="44"/>
        </w:rPr>
      </w:pPr>
      <w:r>
        <w:rPr>
          <w:rFonts w:hint="eastAsia" w:ascii="宋体" w:hAnsi="宋体" w:eastAsia="宋体" w:cs="宋体"/>
          <w:b/>
          <w:kern w:val="2"/>
          <w:sz w:val="44"/>
          <w:szCs w:val="44"/>
        </w:rPr>
        <w:t>报价函</w:t>
      </w:r>
    </w:p>
    <w:p w14:paraId="664DF37C">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rPr>
      </w:pP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（以下简称“我方”）已全面阅读和研究了</w:t>
      </w:r>
      <w:r>
        <w:rPr>
          <w:rFonts w:hint="eastAsia" w:ascii="宋体" w:hAnsi="宋体" w:eastAsia="宋体" w:cs="宋体"/>
          <w:kern w:val="2"/>
          <w:sz w:val="28"/>
          <w:szCs w:val="28"/>
          <w:u w:val="single"/>
          <w:lang w:eastAsia="zh-CN"/>
        </w:rPr>
        <w:t>财贸职高新校区（职教园区）</w:t>
      </w:r>
      <w:r>
        <w:rPr>
          <w:rFonts w:hint="eastAsia" w:ascii="宋体" w:hAnsi="宋体" w:eastAsia="宋体" w:cs="宋体"/>
          <w:kern w:val="2"/>
          <w:sz w:val="28"/>
          <w:szCs w:val="28"/>
          <w:u w:val="single"/>
          <w:lang w:val="en-US" w:eastAsia="zh-CN"/>
        </w:rPr>
        <w:t>中心机房</w:t>
      </w:r>
      <w:r>
        <w:rPr>
          <w:rFonts w:hint="eastAsia" w:ascii="宋体" w:hAnsi="宋体" w:eastAsia="宋体" w:cs="宋体"/>
          <w:kern w:val="2"/>
          <w:sz w:val="28"/>
          <w:szCs w:val="28"/>
          <w:u w:val="single"/>
          <w:lang w:eastAsia="zh-CN"/>
        </w:rPr>
        <w:t>设备采购</w:t>
      </w:r>
      <w:r>
        <w:rPr>
          <w:rFonts w:hint="eastAsia" w:ascii="宋体" w:hAnsi="宋体" w:eastAsia="宋体" w:cs="宋体"/>
          <w:kern w:val="2"/>
          <w:sz w:val="28"/>
          <w:szCs w:val="28"/>
        </w:rPr>
        <w:t>项目</w:t>
      </w:r>
      <w:r>
        <w:rPr>
          <w:rFonts w:hint="eastAsia" w:ascii="宋体" w:hAnsi="宋体" w:eastAsia="宋体" w:cs="宋体"/>
          <w:color w:val="000000" w:themeColor="text1"/>
          <w:kern w:val="2"/>
          <w:sz w:val="28"/>
          <w:szCs w:val="28"/>
          <w14:textFill>
            <w14:solidFill>
              <w14:schemeClr w14:val="tx1"/>
            </w14:solidFill>
          </w14:textFill>
        </w:rPr>
        <w:t>的</w:t>
      </w:r>
      <w:r>
        <w:rPr>
          <w:rFonts w:hint="eastAsia" w:ascii="宋体" w:hAnsi="宋体" w:eastAsia="宋体" w:cs="宋体"/>
          <w:kern w:val="2"/>
          <w:sz w:val="28"/>
          <w:szCs w:val="28"/>
          <w:lang w:eastAsia="zh-CN"/>
        </w:rPr>
        <w:t>市场询价</w:t>
      </w:r>
      <w:r>
        <w:rPr>
          <w:rFonts w:hint="eastAsia" w:ascii="宋体" w:hAnsi="宋体" w:eastAsia="宋体" w:cs="宋体"/>
          <w:kern w:val="2"/>
          <w:sz w:val="28"/>
          <w:szCs w:val="28"/>
        </w:rPr>
        <w:t>函，现经我方认真分析研究，</w:t>
      </w:r>
      <w:r>
        <w:rPr>
          <w:rFonts w:hint="eastAsia" w:ascii="宋体" w:hAnsi="宋体" w:eastAsia="宋体" w:cs="宋体"/>
          <w:kern w:val="2"/>
          <w:sz w:val="28"/>
          <w:szCs w:val="28"/>
          <w:lang w:eastAsia="zh-CN"/>
        </w:rPr>
        <w:t>我方</w:t>
      </w:r>
      <w:r>
        <w:rPr>
          <w:rFonts w:hint="eastAsia" w:ascii="宋体" w:hAnsi="宋体" w:eastAsia="宋体" w:cs="宋体"/>
          <w:kern w:val="2"/>
          <w:sz w:val="28"/>
          <w:szCs w:val="28"/>
        </w:rPr>
        <w:t>同意</w:t>
      </w:r>
      <w:r>
        <w:rPr>
          <w:rFonts w:hint="eastAsia" w:ascii="宋体" w:hAnsi="宋体" w:eastAsia="宋体" w:cs="宋体"/>
          <w:kern w:val="2"/>
          <w:sz w:val="28"/>
          <w:szCs w:val="28"/>
          <w:lang w:eastAsia="zh-CN"/>
        </w:rPr>
        <w:t>提供相关设备报价</w:t>
      </w:r>
      <w:r>
        <w:rPr>
          <w:rFonts w:hint="eastAsia" w:ascii="宋体" w:hAnsi="宋体" w:eastAsia="宋体" w:cs="宋体"/>
          <w:kern w:val="2"/>
          <w:sz w:val="28"/>
          <w:szCs w:val="28"/>
        </w:rPr>
        <w:t>，以</w:t>
      </w:r>
      <w:r>
        <w:rPr>
          <w:rFonts w:hint="eastAsia" w:ascii="宋体" w:hAnsi="宋体" w:eastAsia="宋体" w:cs="宋体"/>
          <w:kern w:val="2"/>
          <w:sz w:val="28"/>
          <w:szCs w:val="28"/>
          <w:lang w:eastAsia="zh-CN"/>
        </w:rPr>
        <w:t>询价函</w:t>
      </w:r>
      <w:r>
        <w:rPr>
          <w:rFonts w:hint="eastAsia" w:ascii="宋体" w:hAnsi="宋体" w:eastAsia="宋体" w:cs="宋体"/>
          <w:kern w:val="2"/>
          <w:sz w:val="28"/>
          <w:szCs w:val="28"/>
        </w:rPr>
        <w:t>要求全部内容进行报价</w:t>
      </w:r>
      <w:r>
        <w:rPr>
          <w:rFonts w:hint="eastAsia" w:ascii="宋体" w:hAnsi="宋体" w:eastAsia="宋体" w:cs="宋体"/>
          <w:kern w:val="2"/>
          <w:sz w:val="28"/>
          <w:szCs w:val="28"/>
          <w:lang w:eastAsia="zh-CN"/>
        </w:rPr>
        <w:t>，并保证相关报价的真实性</w:t>
      </w:r>
      <w:r>
        <w:rPr>
          <w:rFonts w:hint="eastAsia" w:ascii="宋体" w:hAnsi="宋体" w:eastAsia="宋体" w:cs="宋体"/>
          <w:kern w:val="2"/>
          <w:sz w:val="28"/>
          <w:szCs w:val="28"/>
        </w:rPr>
        <w:t>。我</w:t>
      </w:r>
      <w:r>
        <w:rPr>
          <w:rFonts w:hint="eastAsia" w:ascii="宋体" w:hAnsi="宋体" w:eastAsia="宋体" w:cs="宋体"/>
          <w:kern w:val="2"/>
          <w:sz w:val="28"/>
          <w:szCs w:val="28"/>
          <w:lang w:eastAsia="zh-CN"/>
        </w:rPr>
        <w:t>单位的</w:t>
      </w:r>
      <w:r>
        <w:rPr>
          <w:rFonts w:hint="eastAsia" w:ascii="宋体" w:hAnsi="宋体" w:eastAsia="宋体" w:cs="宋体"/>
          <w:kern w:val="2"/>
          <w:sz w:val="28"/>
          <w:szCs w:val="28"/>
        </w:rPr>
        <w:t>报价含</w:t>
      </w:r>
      <w:r>
        <w:rPr>
          <w:rFonts w:hint="eastAsia" w:ascii="宋体" w:hAnsi="宋体" w:eastAsia="宋体" w:cs="宋体"/>
          <w:b/>
          <w:bCs/>
          <w:kern w:val="2"/>
          <w:sz w:val="28"/>
          <w:szCs w:val="28"/>
          <w:u w:val="single"/>
          <w:lang w:eastAsia="zh-CN"/>
        </w:rPr>
        <w:t>设备费用</w:t>
      </w:r>
      <w:r>
        <w:rPr>
          <w:rFonts w:hint="eastAsia" w:ascii="宋体" w:hAnsi="宋体" w:eastAsia="宋体" w:cs="宋体"/>
          <w:b/>
          <w:bCs/>
          <w:kern w:val="2"/>
          <w:sz w:val="28"/>
          <w:szCs w:val="28"/>
          <w:u w:val="single"/>
        </w:rPr>
        <w:t>、</w:t>
      </w:r>
      <w:r>
        <w:rPr>
          <w:rFonts w:hint="eastAsia" w:ascii="宋体" w:hAnsi="宋体" w:eastAsia="宋体" w:cs="宋体"/>
          <w:b/>
          <w:bCs/>
          <w:kern w:val="2"/>
          <w:sz w:val="28"/>
          <w:szCs w:val="28"/>
          <w:u w:val="single"/>
          <w:lang w:val="en-US" w:eastAsia="zh-CN"/>
        </w:rPr>
        <w:t>运输费、装卸费、增值税费、培训、质保、售后服务</w:t>
      </w:r>
      <w:r>
        <w:rPr>
          <w:rFonts w:hint="eastAsia" w:ascii="宋体" w:hAnsi="宋体" w:eastAsia="宋体" w:cs="宋体"/>
          <w:kern w:val="2"/>
          <w:sz w:val="28"/>
          <w:szCs w:val="28"/>
        </w:rPr>
        <w:t>等与项目有关的一切费用。</w:t>
      </w:r>
    </w:p>
    <w:p w14:paraId="27C13846">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eastAsia="zh-CN"/>
        </w:rPr>
        <w:t>具体报价详见附件</w:t>
      </w:r>
      <w:r>
        <w:rPr>
          <w:rFonts w:hint="eastAsia" w:ascii="宋体" w:hAnsi="宋体" w:eastAsia="宋体" w:cs="宋体"/>
          <w:kern w:val="2"/>
          <w:sz w:val="28"/>
          <w:szCs w:val="28"/>
          <w:lang w:val="en-US" w:eastAsia="zh-CN"/>
        </w:rPr>
        <w:t>3</w:t>
      </w:r>
    </w:p>
    <w:p w14:paraId="2CA6CEC3">
      <w:pPr>
        <w:spacing w:line="420" w:lineRule="exact"/>
        <w:ind w:firstLine="480"/>
        <w:rPr>
          <w:rFonts w:hint="eastAsia" w:ascii="宋体" w:hAnsi="宋体" w:eastAsia="宋体" w:cs="宋体"/>
          <w:sz w:val="28"/>
          <w:szCs w:val="28"/>
        </w:rPr>
      </w:pPr>
    </w:p>
    <w:p w14:paraId="4E2893D6">
      <w:pPr>
        <w:spacing w:line="420" w:lineRule="exact"/>
        <w:ind w:firstLine="480"/>
        <w:rPr>
          <w:rFonts w:hint="eastAsia" w:ascii="宋体" w:hAnsi="宋体" w:eastAsia="宋体" w:cs="宋体"/>
          <w:sz w:val="28"/>
          <w:szCs w:val="28"/>
        </w:rPr>
      </w:pPr>
    </w:p>
    <w:p w14:paraId="01C256B7">
      <w:pPr>
        <w:spacing w:line="420" w:lineRule="exact"/>
        <w:ind w:firstLine="420"/>
        <w:rPr>
          <w:rFonts w:hint="eastAsia" w:ascii="宋体" w:hAnsi="宋体" w:eastAsia="宋体" w:cs="宋体"/>
          <w:kern w:val="2"/>
          <w:sz w:val="28"/>
          <w:szCs w:val="28"/>
        </w:rPr>
      </w:pPr>
      <w:r>
        <w:rPr>
          <w:rFonts w:hint="eastAsia" w:ascii="宋体" w:hAnsi="宋体" w:eastAsia="宋体" w:cs="宋体"/>
          <w:kern w:val="2"/>
          <w:sz w:val="28"/>
          <w:szCs w:val="28"/>
        </w:rPr>
        <w:t>报 价 方：</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kern w:val="2"/>
          <w:sz w:val="28"/>
          <w:szCs w:val="28"/>
        </w:rPr>
        <w:t>（全称、盖章）</w:t>
      </w:r>
    </w:p>
    <w:p w14:paraId="66176239">
      <w:pPr>
        <w:spacing w:line="420" w:lineRule="exact"/>
        <w:ind w:firstLine="420"/>
        <w:rPr>
          <w:rFonts w:hint="eastAsia" w:ascii="宋体" w:hAnsi="宋体" w:eastAsia="宋体" w:cs="宋体"/>
          <w:sz w:val="28"/>
          <w:szCs w:val="28"/>
        </w:rPr>
      </w:pPr>
      <w:r>
        <w:rPr>
          <w:rFonts w:hint="eastAsia" w:ascii="宋体" w:hAnsi="宋体" w:eastAsia="宋体" w:cs="宋体"/>
          <w:kern w:val="2"/>
          <w:sz w:val="28"/>
          <w:szCs w:val="28"/>
        </w:rPr>
        <w:t>法定代表人(或负责人)：</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（姓名、签字）</w:t>
      </w:r>
    </w:p>
    <w:p w14:paraId="69FA27F9">
      <w:pPr>
        <w:suppressAutoHyphens/>
        <w:spacing w:line="420" w:lineRule="exact"/>
        <w:ind w:firstLine="420"/>
        <w:rPr>
          <w:rFonts w:hint="eastAsia" w:ascii="宋体" w:hAnsi="宋体" w:eastAsia="宋体" w:cs="宋体"/>
          <w:color w:val="FFFFFF" w:themeColor="background1"/>
          <w:sz w:val="28"/>
          <w:szCs w:val="28"/>
          <w:u w:val="single"/>
          <w14:textFill>
            <w14:solidFill>
              <w14:schemeClr w14:val="bg1"/>
            </w14:solidFill>
          </w14:textFill>
        </w:rPr>
      </w:pPr>
      <w:r>
        <w:rPr>
          <w:rFonts w:hint="eastAsia" w:ascii="宋体" w:hAnsi="宋体" w:eastAsia="宋体" w:cs="宋体"/>
          <w:kern w:val="2"/>
          <w:sz w:val="28"/>
          <w:szCs w:val="28"/>
        </w:rPr>
        <w:t>地  址：</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color w:val="FFFFFF" w:themeColor="background1"/>
          <w:kern w:val="2"/>
          <w:sz w:val="28"/>
          <w:szCs w:val="28"/>
          <w:u w:val="single"/>
          <w14:textFill>
            <w14:solidFill>
              <w14:schemeClr w14:val="bg1"/>
            </w14:solidFill>
          </w14:textFill>
        </w:rPr>
        <w:t>我</w:t>
      </w:r>
    </w:p>
    <w:p w14:paraId="2C58B272">
      <w:pPr>
        <w:suppressAutoHyphens/>
        <w:spacing w:line="420" w:lineRule="exact"/>
        <w:ind w:firstLine="420"/>
        <w:rPr>
          <w:rFonts w:hint="eastAsia" w:ascii="宋体" w:hAnsi="宋体" w:eastAsia="宋体" w:cs="宋体"/>
          <w:sz w:val="28"/>
          <w:szCs w:val="28"/>
          <w:u w:val="single"/>
        </w:rPr>
      </w:pPr>
      <w:r>
        <w:rPr>
          <w:rFonts w:hint="eastAsia" w:ascii="宋体" w:hAnsi="宋体" w:eastAsia="宋体" w:cs="宋体"/>
          <w:kern w:val="2"/>
          <w:sz w:val="28"/>
          <w:szCs w:val="28"/>
        </w:rPr>
        <w:t>电  话：</w:t>
      </w:r>
      <w:r>
        <w:rPr>
          <w:rFonts w:hint="eastAsia" w:ascii="宋体" w:hAnsi="宋体" w:eastAsia="宋体" w:cs="宋体"/>
          <w:kern w:val="2"/>
          <w:sz w:val="24"/>
          <w:szCs w:val="24"/>
        </w:rPr>
        <w:t>__________________________</w:t>
      </w:r>
    </w:p>
    <w:p w14:paraId="1CDBEE84">
      <w:pPr>
        <w:spacing w:line="420" w:lineRule="exact"/>
        <w:ind w:firstLine="420"/>
        <w:rPr>
          <w:rFonts w:hint="eastAsia" w:ascii="宋体" w:hAnsi="宋体" w:eastAsia="宋体" w:cs="宋体"/>
          <w:sz w:val="24"/>
        </w:rPr>
      </w:pPr>
      <w:r>
        <w:rPr>
          <w:rFonts w:hint="eastAsia" w:ascii="宋体" w:hAnsi="宋体" w:eastAsia="宋体" w:cs="宋体"/>
          <w:kern w:val="2"/>
          <w:sz w:val="24"/>
          <w:szCs w:val="24"/>
        </w:rPr>
        <w:t>日  期：</w:t>
      </w:r>
      <w:r>
        <w:rPr>
          <w:rFonts w:hint="eastAsia" w:ascii="宋体" w:hAnsi="宋体" w:eastAsia="宋体" w:cs="宋体"/>
          <w:kern w:val="2"/>
          <w:sz w:val="24"/>
          <w:szCs w:val="24"/>
          <w:lang w:val="en-US" w:eastAsia="zh-CN"/>
        </w:rPr>
        <w:t>2025年     月     日</w:t>
      </w:r>
    </w:p>
    <w:p w14:paraId="245395E8">
      <w:pPr>
        <w:spacing w:line="480" w:lineRule="exact"/>
        <w:rPr>
          <w:rFonts w:hint="eastAsia" w:ascii="宋体" w:hAnsi="宋体" w:eastAsia="宋体" w:cs="宋体"/>
          <w:sz w:val="28"/>
          <w:szCs w:val="28"/>
        </w:rPr>
      </w:pPr>
    </w:p>
    <w:p w14:paraId="47A59870">
      <w:pPr>
        <w:rPr>
          <w:rFonts w:hint="eastAsia" w:ascii="宋体" w:hAnsi="宋体" w:eastAsia="宋体" w:cs="宋体"/>
          <w:sz w:val="28"/>
          <w:szCs w:val="28"/>
        </w:rPr>
      </w:pPr>
      <w:r>
        <w:rPr>
          <w:rFonts w:hint="eastAsia" w:ascii="宋体" w:hAnsi="宋体" w:eastAsia="宋体" w:cs="宋体"/>
          <w:sz w:val="28"/>
          <w:szCs w:val="28"/>
        </w:rPr>
        <w:br w:type="page"/>
      </w:r>
    </w:p>
    <w:p w14:paraId="54625209">
      <w:pPr>
        <w:rPr>
          <w:rFonts w:hint="eastAsia" w:ascii="宋体" w:hAnsi="宋体" w:eastAsia="宋体" w:cs="宋体"/>
          <w:sz w:val="28"/>
          <w:szCs w:val="28"/>
        </w:rPr>
      </w:pPr>
    </w:p>
    <w:p w14:paraId="5993F181">
      <w:pPr>
        <w:keepNext w:val="0"/>
        <w:keepLines w:val="0"/>
        <w:pageBreakBefore w:val="0"/>
        <w:widowControl/>
        <w:kinsoku/>
        <w:wordWrap/>
        <w:overflowPunct/>
        <w:topLinePunct w:val="0"/>
        <w:autoSpaceDE/>
        <w:autoSpaceDN/>
        <w:bidi w:val="0"/>
        <w:adjustRightInd w:val="0"/>
        <w:snapToGrid/>
        <w:spacing w:after="0" w:line="480" w:lineRule="exact"/>
        <w:textAlignment w:val="auto"/>
        <w:rPr>
          <w:rFonts w:hint="eastAsia" w:ascii="宋体" w:hAnsi="宋体" w:eastAsia="宋体" w:cs="宋体"/>
          <w:sz w:val="28"/>
          <w:szCs w:val="28"/>
          <w:lang w:eastAsia="zh-CN"/>
        </w:rPr>
      </w:pPr>
      <w:r>
        <w:rPr>
          <w:rFonts w:hint="eastAsia" w:ascii="宋体" w:hAnsi="宋体" w:eastAsia="宋体" w:cs="宋体"/>
          <w:sz w:val="28"/>
          <w:szCs w:val="28"/>
        </w:rPr>
        <w:t>附件</w:t>
      </w:r>
      <w:r>
        <w:rPr>
          <w:rFonts w:hint="eastAsia" w:ascii="宋体" w:hAnsi="宋体" w:eastAsia="宋体" w:cs="宋体"/>
          <w:sz w:val="28"/>
          <w:szCs w:val="28"/>
          <w:lang w:val="en-US" w:eastAsia="zh-CN"/>
        </w:rPr>
        <w:t>3</w:t>
      </w:r>
      <w:r>
        <w:rPr>
          <w:rFonts w:hint="eastAsia" w:ascii="宋体" w:hAnsi="宋体" w:eastAsia="宋体" w:cs="宋体"/>
          <w:sz w:val="28"/>
          <w:szCs w:val="28"/>
        </w:rPr>
        <w:t>：</w:t>
      </w:r>
      <w:r>
        <w:rPr>
          <w:rFonts w:hint="eastAsia" w:ascii="宋体" w:hAnsi="宋体" w:eastAsia="宋体" w:cs="宋体"/>
          <w:sz w:val="28"/>
          <w:szCs w:val="28"/>
          <w:lang w:eastAsia="zh-CN"/>
        </w:rPr>
        <w:t>清单报价表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
        <w:gridCol w:w="775"/>
        <w:gridCol w:w="4975"/>
        <w:gridCol w:w="462"/>
        <w:gridCol w:w="500"/>
        <w:gridCol w:w="488"/>
        <w:gridCol w:w="500"/>
        <w:gridCol w:w="425"/>
        <w:gridCol w:w="462"/>
        <w:gridCol w:w="466"/>
      </w:tblGrid>
      <w:tr w14:paraId="1B5C7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shd w:val="clear" w:color="auto" w:fill="auto"/>
            <w:vAlign w:val="center"/>
          </w:tcPr>
          <w:p w14:paraId="32A8819D">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编号</w:t>
            </w:r>
          </w:p>
        </w:tc>
        <w:tc>
          <w:tcPr>
            <w:tcW w:w="775" w:type="dxa"/>
            <w:shd w:val="clear" w:color="auto" w:fill="auto"/>
            <w:vAlign w:val="center"/>
          </w:tcPr>
          <w:p w14:paraId="261CE241">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设备名称</w:t>
            </w:r>
          </w:p>
        </w:tc>
        <w:tc>
          <w:tcPr>
            <w:tcW w:w="4975" w:type="dxa"/>
            <w:shd w:val="clear" w:color="auto" w:fill="auto"/>
            <w:vAlign w:val="center"/>
          </w:tcPr>
          <w:p w14:paraId="69AC123D">
            <w:pPr>
              <w:keepNext w:val="0"/>
              <w:keepLines w:val="0"/>
              <w:pageBreakBefore w:val="0"/>
              <w:widowControl/>
              <w:kinsoku/>
              <w:wordWrap/>
              <w:overflowPunct/>
              <w:topLinePunct w:val="0"/>
              <w:autoSpaceDE/>
              <w:autoSpaceDN/>
              <w:bidi w:val="0"/>
              <w:adjustRightInd/>
              <w:snapToGrid/>
              <w:spacing w:after="0" w:line="240" w:lineRule="atLeast"/>
              <w:ind w:left="0" w:leftChars="0" w:firstLine="0" w:firstLineChars="0"/>
              <w:jc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kern w:val="0"/>
                <w:sz w:val="24"/>
                <w:szCs w:val="24"/>
                <w:lang w:val="en-US" w:eastAsia="zh-CN"/>
              </w:rPr>
              <w:t>主要性能指标（</w:t>
            </w:r>
            <w:r>
              <w:rPr>
                <w:rFonts w:hint="eastAsia" w:ascii="宋体" w:hAnsi="宋体" w:eastAsia="宋体" w:cs="宋体"/>
                <w:b/>
                <w:bCs/>
                <w:kern w:val="0"/>
                <w:sz w:val="24"/>
                <w:szCs w:val="24"/>
              </w:rPr>
              <w:t>技术参数）</w:t>
            </w:r>
          </w:p>
        </w:tc>
        <w:tc>
          <w:tcPr>
            <w:tcW w:w="462" w:type="dxa"/>
            <w:shd w:val="clear" w:color="auto" w:fill="auto"/>
            <w:vAlign w:val="center"/>
          </w:tcPr>
          <w:p w14:paraId="7B191B16">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单位</w:t>
            </w:r>
          </w:p>
        </w:tc>
        <w:tc>
          <w:tcPr>
            <w:tcW w:w="500" w:type="dxa"/>
            <w:shd w:val="clear" w:color="auto" w:fill="auto"/>
            <w:vAlign w:val="center"/>
          </w:tcPr>
          <w:p w14:paraId="18D23201">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数量</w:t>
            </w:r>
          </w:p>
        </w:tc>
        <w:tc>
          <w:tcPr>
            <w:tcW w:w="488" w:type="dxa"/>
            <w:shd w:val="clear" w:color="auto" w:fill="auto"/>
            <w:vAlign w:val="center"/>
          </w:tcPr>
          <w:p w14:paraId="5588CE1B">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单价</w:t>
            </w:r>
          </w:p>
        </w:tc>
        <w:tc>
          <w:tcPr>
            <w:tcW w:w="500" w:type="dxa"/>
            <w:shd w:val="clear" w:color="auto" w:fill="auto"/>
            <w:vAlign w:val="center"/>
          </w:tcPr>
          <w:p w14:paraId="32618093">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品牌</w:t>
            </w:r>
          </w:p>
        </w:tc>
        <w:tc>
          <w:tcPr>
            <w:tcW w:w="425" w:type="dxa"/>
            <w:shd w:val="clear" w:color="auto" w:fill="auto"/>
            <w:vAlign w:val="center"/>
          </w:tcPr>
          <w:p w14:paraId="7B946363">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总价</w:t>
            </w:r>
          </w:p>
        </w:tc>
        <w:tc>
          <w:tcPr>
            <w:tcW w:w="462" w:type="dxa"/>
            <w:shd w:val="clear" w:color="auto" w:fill="auto"/>
            <w:vAlign w:val="center"/>
          </w:tcPr>
          <w:p w14:paraId="426B427A">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型号</w:t>
            </w:r>
          </w:p>
        </w:tc>
        <w:tc>
          <w:tcPr>
            <w:tcW w:w="466" w:type="dxa"/>
            <w:shd w:val="clear" w:color="auto" w:fill="auto"/>
            <w:vAlign w:val="center"/>
          </w:tcPr>
          <w:p w14:paraId="1C7B0486">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备注</w:t>
            </w:r>
          </w:p>
        </w:tc>
      </w:tr>
      <w:tr w14:paraId="26DFC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14:paraId="19876833">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1</w:t>
            </w:r>
          </w:p>
        </w:tc>
        <w:tc>
          <w:tcPr>
            <w:tcW w:w="775" w:type="dxa"/>
            <w:vAlign w:val="center"/>
          </w:tcPr>
          <w:p w14:paraId="3018BD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防火墙</w:t>
            </w:r>
          </w:p>
        </w:tc>
        <w:tc>
          <w:tcPr>
            <w:tcW w:w="4975" w:type="dxa"/>
            <w:vAlign w:val="center"/>
          </w:tcPr>
          <w:p w14:paraId="31B3E0F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1、产品功能：含基本网络防火墙功能、访问控制功能、攻击防护、Web防护、用户认证功能、链路负载均衡功能、流量控制、资产识别、IPSec VPN等功能。</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2、产品规格：整机吞吐20Gbps；最大并发数600万；最大新建数50万/秒；1、软硬一体产品。2、2U机架式，CPU：2.3 Ghz，8核8线程，内存：16GB，硬盘：2TB HDD，电源规格：1+1冗余电源（额定功率350W），风扇数：3个。网络接口：千兆电口=16个(含2组电口Bypass），管理电口=1个，HA电口=1个，千兆光口=16个，万兆光口=8个，不带光模块，接口扩展槽：4个；含五年软硬件质保。</w:t>
            </w:r>
          </w:p>
        </w:tc>
        <w:tc>
          <w:tcPr>
            <w:tcW w:w="462" w:type="dxa"/>
            <w:vAlign w:val="center"/>
          </w:tcPr>
          <w:p w14:paraId="1D95CCC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套</w:t>
            </w:r>
          </w:p>
        </w:tc>
        <w:tc>
          <w:tcPr>
            <w:tcW w:w="500" w:type="dxa"/>
            <w:vAlign w:val="center"/>
          </w:tcPr>
          <w:p w14:paraId="5BD7D2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2</w:t>
            </w:r>
          </w:p>
        </w:tc>
        <w:tc>
          <w:tcPr>
            <w:tcW w:w="488" w:type="dxa"/>
          </w:tcPr>
          <w:p w14:paraId="2DC4C1F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500" w:type="dxa"/>
          </w:tcPr>
          <w:p w14:paraId="7E47904D">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25" w:type="dxa"/>
          </w:tcPr>
          <w:p w14:paraId="05066CC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2" w:type="dxa"/>
          </w:tcPr>
          <w:p w14:paraId="45FE33B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6" w:type="dxa"/>
          </w:tcPr>
          <w:p w14:paraId="62933A58">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5A31A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14:paraId="32E4BBE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2</w:t>
            </w:r>
          </w:p>
        </w:tc>
        <w:tc>
          <w:tcPr>
            <w:tcW w:w="775" w:type="dxa"/>
            <w:vAlign w:val="center"/>
          </w:tcPr>
          <w:p w14:paraId="78E642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堡垒机</w:t>
            </w:r>
          </w:p>
        </w:tc>
        <w:tc>
          <w:tcPr>
            <w:tcW w:w="4975" w:type="dxa"/>
            <w:vAlign w:val="center"/>
          </w:tcPr>
          <w:p w14:paraId="201DDE13">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1、产品功能：具有输入输出审计功能，为用户内部提供完整的审计信息，通过账号管理、身份认证、自动改密、资源授权、实时阻断、同步监控、审计回放、自动化运维、流程管理等功能增强运维管理的安全性</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2、授权资产数200个；并发字符连接最大数200个；并发图形连接最大数50个；标准1U机架式，内存：16G，硬盘容量：2T，电源：1+1冗余电源，网络接口：千兆业务电口*8、千兆业务光口*4；含五年软硬件质保。</w:t>
            </w:r>
          </w:p>
        </w:tc>
        <w:tc>
          <w:tcPr>
            <w:tcW w:w="462" w:type="dxa"/>
            <w:vAlign w:val="center"/>
          </w:tcPr>
          <w:p w14:paraId="43C4F4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套</w:t>
            </w:r>
          </w:p>
        </w:tc>
        <w:tc>
          <w:tcPr>
            <w:tcW w:w="500" w:type="dxa"/>
            <w:vAlign w:val="center"/>
          </w:tcPr>
          <w:p w14:paraId="31A1DA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1</w:t>
            </w:r>
          </w:p>
        </w:tc>
        <w:tc>
          <w:tcPr>
            <w:tcW w:w="488" w:type="dxa"/>
          </w:tcPr>
          <w:p w14:paraId="2495606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500" w:type="dxa"/>
          </w:tcPr>
          <w:p w14:paraId="0EDDE32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25" w:type="dxa"/>
          </w:tcPr>
          <w:p w14:paraId="2BC8E7B5">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2" w:type="dxa"/>
          </w:tcPr>
          <w:p w14:paraId="7EE432A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6" w:type="dxa"/>
          </w:tcPr>
          <w:p w14:paraId="0BE56AC8">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145EE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14:paraId="0861F24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4"/>
                <w:szCs w:val="24"/>
                <w:lang w:val="en-US" w:eastAsia="zh-CN"/>
              </w:rPr>
            </w:pPr>
          </w:p>
        </w:tc>
        <w:tc>
          <w:tcPr>
            <w:tcW w:w="775" w:type="dxa"/>
            <w:vAlign w:val="center"/>
          </w:tcPr>
          <w:p w14:paraId="193BF60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入</w:t>
            </w:r>
            <w:r>
              <w:rPr>
                <w:rFonts w:hint="eastAsia" w:ascii="宋体" w:hAnsi="宋体" w:eastAsia="宋体" w:cs="宋体"/>
                <w:sz w:val="24"/>
                <w:szCs w:val="24"/>
                <w:lang w:val="en-US" w:eastAsia="zh-CN"/>
              </w:rPr>
              <w:t>侵防御</w:t>
            </w:r>
          </w:p>
        </w:tc>
        <w:tc>
          <w:tcPr>
            <w:tcW w:w="4975" w:type="dxa"/>
            <w:vAlign w:val="center"/>
          </w:tcPr>
          <w:p w14:paraId="60BCF377">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1.标准机架式设备，专用入侵防御设备，非防火墙开通IPS功能，内存≥8GB，硬盘≥2TB，单电源，配置千兆电口≥6个（≥2组电口bypass），千兆光口≥4个，≥2个接口扩展板插槽，采用国产处理器及国产操作系统。</w:t>
            </w:r>
          </w:p>
          <w:p w14:paraId="6198C820">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2.网络吞吐≥4Gbps，最大并发连接数≥200万，每秒新建连接数≥4万，提供五年原厂质保及入侵防御规则库、病毒库、行为管理规则库、威胁情报规则库升级服务。</w:t>
            </w:r>
          </w:p>
          <w:p w14:paraId="5D3AC20C">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具备基于安全域、MAC地址、IP地址、服务、时间、用户、应用等属性的访问控制功能，同时具备防病毒、入侵防御、内容过滤、URL过滤、文件过滤、Web防护、SSL解密、弱密码防护、防暴力破解等属性的高级访问控制功能。</w:t>
            </w:r>
          </w:p>
          <w:p w14:paraId="29EB3995">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4.内置入侵防御规则库，支持自定义TCP、UDP、ICMP、HTTP协议的入侵攻击特征规则，支持通过CVE编号、CNNVD编号对入侵防御规则进行搜索查询。</w:t>
            </w:r>
          </w:p>
          <w:p w14:paraId="5815E6F7">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5.内置病毒防护规则库，支持对HTTP、FTP、SMTP、POP3、IMAP协议中传输的文件进行检测，支持查杀邮件正文/附件、网页及下载文件中包含的病毒。</w:t>
            </w:r>
          </w:p>
          <w:p w14:paraId="68001A39">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6.内置Web防护规则库，Web防护告警日志至少包含触发时间、日志级别、源地址、源端口、目的地址、目的端口、协议类型、防护类型、规则编号、漏洞名称、攻击次数、告警动作等信息。</w:t>
            </w:r>
          </w:p>
          <w:p w14:paraId="6F414304">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7.支持基于IP、域名、文件HASH在线检索威胁情报，并且支持查看威胁详情，以及支持针对威胁事件采取操作，支持将源IP或目的IP加入黑名单。</w:t>
            </w:r>
          </w:p>
          <w:p w14:paraId="503D267B">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8.具备黑名单功能，支持基于源地址、目的地址、服务、协议、生命周期进行黑名单配置，以及支持黑名单的导入和导出。</w:t>
            </w:r>
          </w:p>
          <w:p w14:paraId="0CA55512">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9.具备策略分析功能，支持对控制策略、带宽策略、策略路由、源NAT等策略进行策略分析，能够分析展示问题策略数量、问题策略详情等。</w:t>
            </w:r>
          </w:p>
          <w:p w14:paraId="1FB158CF">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10.支持图形化方式展示最近1小时、最近24小时、最近1周、最近1月各威胁级别（至少包括信息、低危、中危、高危、严重）攻击事件的数量占比和数量大小。</w:t>
            </w:r>
          </w:p>
        </w:tc>
        <w:tc>
          <w:tcPr>
            <w:tcW w:w="462" w:type="dxa"/>
            <w:vAlign w:val="center"/>
          </w:tcPr>
          <w:p w14:paraId="6738EA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4"/>
                <w:szCs w:val="24"/>
                <w:lang w:val="en-US" w:eastAsia="zh-CN"/>
              </w:rPr>
            </w:pPr>
          </w:p>
        </w:tc>
        <w:tc>
          <w:tcPr>
            <w:tcW w:w="500" w:type="dxa"/>
            <w:vAlign w:val="center"/>
          </w:tcPr>
          <w:p w14:paraId="166C0A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4"/>
                <w:szCs w:val="24"/>
                <w:lang w:val="en-US" w:eastAsia="zh-CN"/>
              </w:rPr>
            </w:pPr>
          </w:p>
        </w:tc>
        <w:tc>
          <w:tcPr>
            <w:tcW w:w="488" w:type="dxa"/>
          </w:tcPr>
          <w:p w14:paraId="0296A84D">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500" w:type="dxa"/>
          </w:tcPr>
          <w:p w14:paraId="4782C00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25" w:type="dxa"/>
          </w:tcPr>
          <w:p w14:paraId="7D0C016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2" w:type="dxa"/>
          </w:tcPr>
          <w:p w14:paraId="427B354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6" w:type="dxa"/>
          </w:tcPr>
          <w:p w14:paraId="67DCBF73">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6508E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14:paraId="18B8F4C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4</w:t>
            </w:r>
          </w:p>
        </w:tc>
        <w:tc>
          <w:tcPr>
            <w:tcW w:w="775" w:type="dxa"/>
            <w:vAlign w:val="center"/>
          </w:tcPr>
          <w:p w14:paraId="12448A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上网行为管理</w:t>
            </w:r>
          </w:p>
        </w:tc>
        <w:tc>
          <w:tcPr>
            <w:tcW w:w="4975" w:type="dxa"/>
            <w:vAlign w:val="center"/>
          </w:tcPr>
          <w:p w14:paraId="2041521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1、硬件参数：标准1U机架式设备，12个千兆电口（含1对bypass），12个千兆光口，1个MGT口，1个USB3.0口，1个console口，500G硬盘，冗余电源；</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2、性能参数：网络层吞吐量9.4Gbps，应用层吞吐量2.3Gbps，最大并发连接数121万，每秒新建连接数7.4万,支持最大用户数800人，支持带宽300M；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3、支持本地认证、Portal认证、Radius认证、LDAP认证、POP3认证、AD域单点登录、微信公众号认证、IC卡认证、二维码认证、互联网钉钉认证、混合认证和免认证。</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支持应用识别、应用内容过滤、URL识别与控制、web应用防护、SSL加密内容审计与控制、旁路阻断、流量管理、防网络共享、日志报表、用户行为分析、应用缓存加速等功能，可扩展支持入侵防御、病毒过滤、威胁情报等功能。</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5、含五年软硬件质保。</w:t>
            </w:r>
          </w:p>
        </w:tc>
        <w:tc>
          <w:tcPr>
            <w:tcW w:w="462" w:type="dxa"/>
            <w:vAlign w:val="center"/>
          </w:tcPr>
          <w:p w14:paraId="20322E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套</w:t>
            </w:r>
          </w:p>
        </w:tc>
        <w:tc>
          <w:tcPr>
            <w:tcW w:w="500" w:type="dxa"/>
            <w:vAlign w:val="center"/>
          </w:tcPr>
          <w:p w14:paraId="33FD14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1</w:t>
            </w:r>
          </w:p>
        </w:tc>
        <w:tc>
          <w:tcPr>
            <w:tcW w:w="488" w:type="dxa"/>
          </w:tcPr>
          <w:p w14:paraId="3711FB3F">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500" w:type="dxa"/>
          </w:tcPr>
          <w:p w14:paraId="417AC09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25" w:type="dxa"/>
          </w:tcPr>
          <w:p w14:paraId="7206534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2" w:type="dxa"/>
          </w:tcPr>
          <w:p w14:paraId="48AA298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6" w:type="dxa"/>
          </w:tcPr>
          <w:p w14:paraId="43A0D8CF">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390E1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14:paraId="3FAB916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5</w:t>
            </w:r>
            <w:bookmarkStart w:id="0" w:name="_GoBack"/>
            <w:bookmarkEnd w:id="0"/>
          </w:p>
        </w:tc>
        <w:tc>
          <w:tcPr>
            <w:tcW w:w="775" w:type="dxa"/>
            <w:vAlign w:val="center"/>
          </w:tcPr>
          <w:p w14:paraId="448A3C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安全攻击预警平台</w:t>
            </w:r>
          </w:p>
        </w:tc>
        <w:tc>
          <w:tcPr>
            <w:tcW w:w="4975" w:type="dxa"/>
            <w:vAlign w:val="center"/>
          </w:tcPr>
          <w:p w14:paraId="306BFDE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1、对各种WEB攻击、邮件社工类攻击进行检测；多维度全方位发现失陷主机；识别内网中横向扩散及渗透攻击行为；对检测对象的会话特征进行多维度监控统计；对流量中的资产进行统计分析；提供综合威胁分析、主机威胁分析、外部威胁分析等多个智能报表；提供综合管理和关联分析能力，同时可提供云端高级分析服务。</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2、整机吞吐量1.5Gbps；基础机架式：2U软硬一体工控机；CPU：2.7GHz 8核8线程；内存：8G*2；硬盘：2T*1；网络接口：管理口=2千兆电，业务口=6千兆电，4千兆光； 电源电压：交流(AC 100-240V)；直流(DC 180-310V)；电源线通用(具体看排插孔)；电源规格：1+1冗余电源 国标；电源额定功率：550W；风扇个数：2；风道：前进风 后出风；Console口：1个；USB：USB2.0*3；含五年软硬件质保。</w:t>
            </w:r>
          </w:p>
        </w:tc>
        <w:tc>
          <w:tcPr>
            <w:tcW w:w="462" w:type="dxa"/>
            <w:vAlign w:val="center"/>
          </w:tcPr>
          <w:p w14:paraId="66D041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套</w:t>
            </w:r>
          </w:p>
        </w:tc>
        <w:tc>
          <w:tcPr>
            <w:tcW w:w="500" w:type="dxa"/>
            <w:vAlign w:val="center"/>
          </w:tcPr>
          <w:p w14:paraId="023AC6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1</w:t>
            </w:r>
          </w:p>
        </w:tc>
        <w:tc>
          <w:tcPr>
            <w:tcW w:w="488" w:type="dxa"/>
          </w:tcPr>
          <w:p w14:paraId="69C0828C">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500" w:type="dxa"/>
          </w:tcPr>
          <w:p w14:paraId="44728DE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25" w:type="dxa"/>
          </w:tcPr>
          <w:p w14:paraId="3FEDDDD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2" w:type="dxa"/>
          </w:tcPr>
          <w:p w14:paraId="7C30F6E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6" w:type="dxa"/>
          </w:tcPr>
          <w:p w14:paraId="0167FAC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486EE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14:paraId="25481B8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6</w:t>
            </w:r>
          </w:p>
        </w:tc>
        <w:tc>
          <w:tcPr>
            <w:tcW w:w="775" w:type="dxa"/>
            <w:vAlign w:val="center"/>
          </w:tcPr>
          <w:p w14:paraId="4FF739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网络运维管理平台</w:t>
            </w:r>
          </w:p>
        </w:tc>
        <w:tc>
          <w:tcPr>
            <w:tcW w:w="4975" w:type="dxa"/>
            <w:vAlign w:val="center"/>
          </w:tcPr>
          <w:p w14:paraId="0BA57D4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1.提供提供不少于100网络设备与20000个终端设备许可</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2.支持网关部署方式串联在骨干网络及旁路部署方式</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3.采用集中式部署，通过一套系统即可实现公网设备与多个不同内网设备的集中管理，无需分布式部署</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4.以拓扑图为操作主界面，所有操作直接在拓扑图上进行</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5.支持拓扑图自动检测所有设备及链路是否改变并进行自动调整拓扑图</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6.当实际链路通断时，拓扑图链路能直观自动作出断开和连接响应</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7.拓扑图能够统一显示所有网络设备的运行状态（至少包括三级状态）、所有线路的流量分布及通断、工作站状态等</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8.拓扑图中必须直接显示全部链路的实时进出口双向流量大小</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9.对于自动绘制好的设备链路提供对错校验工具</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10.展现拓扑图时，可以选择全部显示工作站、全部隐藏工作站、在线工作站显示、服务器显示、摄像头显示等</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11.支持通过链路颜色显示网络负载状况，提供多种流量显示方式来掌握网络内的流量状况和internet入口带宽使用情况。</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12.持拓扑图上突发大流量包的轨迹显示和起止点的定位，突发大流量值可自定义</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13.支持无线AP、AC在拓扑图上的显示与定位，包括AP的流量与状态显示</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14.支持通过无线用户IP或MAC直接在拓扑图上定位到上联AP</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15.支持不同品牌的摄像头、录像机、IP电话、IP广播接收器等IP终端在拓扑图上的状态显示与网络拓扑定位</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16.在拓扑图中可以同时显示所有在线和不在线终端PC，并可显示在线时间，下线时间及终端PC的基本信息</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17.支持在拓扑图中简单快速定位广播风暴、环路的源头</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18.支持自动绘制出OLT与ONU、交换机组网的拓扑结构，清晰展现OLT到交换机的链路流量、带宽及端口连接状态，支持OLT与ONU的拓扑图上的状态显示与定位</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19.支持IPv6设备管理</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20.支持与计费认证系统等其他软件相结合使用，以及二次开发</w:t>
            </w:r>
          </w:p>
        </w:tc>
        <w:tc>
          <w:tcPr>
            <w:tcW w:w="462" w:type="dxa"/>
            <w:vAlign w:val="center"/>
          </w:tcPr>
          <w:p w14:paraId="18558E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套</w:t>
            </w:r>
          </w:p>
        </w:tc>
        <w:tc>
          <w:tcPr>
            <w:tcW w:w="500" w:type="dxa"/>
            <w:vAlign w:val="center"/>
          </w:tcPr>
          <w:p w14:paraId="1AC09B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sz w:val="28"/>
                <w:szCs w:val="28"/>
                <w:vertAlign w:val="baseline"/>
                <w:lang w:eastAsia="zh-CN"/>
              </w:rPr>
            </w:pPr>
            <w:r>
              <w:rPr>
                <w:rFonts w:hint="eastAsia" w:ascii="宋体" w:hAnsi="宋体" w:eastAsia="宋体" w:cs="宋体"/>
                <w:sz w:val="24"/>
                <w:szCs w:val="24"/>
                <w:lang w:val="en-US" w:eastAsia="zh-CN"/>
              </w:rPr>
              <w:t>1</w:t>
            </w:r>
          </w:p>
        </w:tc>
        <w:tc>
          <w:tcPr>
            <w:tcW w:w="488" w:type="dxa"/>
          </w:tcPr>
          <w:p w14:paraId="01678EF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500" w:type="dxa"/>
          </w:tcPr>
          <w:p w14:paraId="693CD6CC">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25" w:type="dxa"/>
          </w:tcPr>
          <w:p w14:paraId="635FEEFF">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2" w:type="dxa"/>
          </w:tcPr>
          <w:p w14:paraId="2E2FC42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6" w:type="dxa"/>
          </w:tcPr>
          <w:p w14:paraId="1AED637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bl>
    <w:p w14:paraId="1BCACFA5">
      <w:pPr>
        <w:pStyle w:val="5"/>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备注：采购数量可能根据实际情况进行调整，最终以实际采购数量为准。</w:t>
      </w:r>
    </w:p>
    <w:p w14:paraId="14CCDDB9">
      <w:pPr>
        <w:spacing w:line="480" w:lineRule="exact"/>
        <w:ind w:firstLine="2800" w:firstLineChars="1000"/>
        <w:jc w:val="right"/>
        <w:rPr>
          <w:rFonts w:hint="eastAsia" w:ascii="宋体" w:hAnsi="宋体" w:eastAsia="宋体" w:cs="宋体"/>
          <w:sz w:val="28"/>
          <w:szCs w:val="28"/>
          <w:u w:val="single"/>
          <w:lang w:val="en-US" w:eastAsia="zh-CN"/>
        </w:rPr>
      </w:pPr>
      <w:r>
        <w:rPr>
          <w:rFonts w:hint="eastAsia" w:ascii="宋体" w:hAnsi="宋体" w:eastAsia="宋体" w:cs="宋体"/>
          <w:sz w:val="28"/>
          <w:szCs w:val="28"/>
        </w:rPr>
        <w:t>报价单位</w:t>
      </w:r>
      <w:r>
        <w:rPr>
          <w:rFonts w:hint="eastAsia" w:ascii="宋体" w:hAnsi="宋体" w:eastAsia="宋体" w:cs="宋体"/>
          <w:sz w:val="28"/>
          <w:szCs w:val="28"/>
          <w:lang w:eastAsia="zh-CN"/>
        </w:rPr>
        <w:t>：</w:t>
      </w:r>
      <w:r>
        <w:rPr>
          <w:rFonts w:hint="eastAsia" w:ascii="宋体" w:hAnsi="宋体" w:eastAsia="宋体" w:cs="宋体"/>
          <w:sz w:val="28"/>
          <w:szCs w:val="28"/>
          <w:u w:val="single"/>
          <w:lang w:val="en-US" w:eastAsia="zh-CN"/>
        </w:rPr>
        <w:t xml:space="preserve">            </w:t>
      </w:r>
      <w:r>
        <w:rPr>
          <w:rFonts w:hint="eastAsia" w:ascii="宋体" w:hAnsi="宋体" w:eastAsia="宋体" w:cs="宋体"/>
          <w:kern w:val="2"/>
          <w:sz w:val="28"/>
          <w:szCs w:val="28"/>
        </w:rPr>
        <w:t>（全称、盖章）</w:t>
      </w:r>
    </w:p>
    <w:p w14:paraId="0EDEFF9C">
      <w:pPr>
        <w:spacing w:line="480" w:lineRule="exact"/>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日期：2025年   月   日</w:t>
      </w:r>
    </w:p>
    <w:sectPr>
      <w:footerReference r:id="rId5" w:type="default"/>
      <w:pgSz w:w="11906" w:h="16838"/>
      <w:pgMar w:top="1440" w:right="1226" w:bottom="1440" w:left="1440" w:header="708" w:footer="709" w:gutter="0"/>
      <w:pgNumType w:fmt="numberInDash" w:start="1"/>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0D0B9">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425753">
                          <w:pPr>
                            <w:pStyle w:val="7"/>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425753">
                    <w:pPr>
                      <w:pStyle w:val="7"/>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ODdkOTAxZTgyOWExMjZmMDA0MWI5NTdlMTI1NzcifQ=="/>
  </w:docVars>
  <w:rsids>
    <w:rsidRoot w:val="00000000"/>
    <w:rsid w:val="001B223C"/>
    <w:rsid w:val="02BD7118"/>
    <w:rsid w:val="040F1960"/>
    <w:rsid w:val="042B29CC"/>
    <w:rsid w:val="06884E18"/>
    <w:rsid w:val="06974D0A"/>
    <w:rsid w:val="0A42599C"/>
    <w:rsid w:val="0B681816"/>
    <w:rsid w:val="0BD56464"/>
    <w:rsid w:val="0E0E518E"/>
    <w:rsid w:val="10574A60"/>
    <w:rsid w:val="134C478E"/>
    <w:rsid w:val="15D038D4"/>
    <w:rsid w:val="176F1D07"/>
    <w:rsid w:val="184A7FAA"/>
    <w:rsid w:val="1AD0204C"/>
    <w:rsid w:val="1AE51AE6"/>
    <w:rsid w:val="1B0167A6"/>
    <w:rsid w:val="1B923901"/>
    <w:rsid w:val="1C810F5C"/>
    <w:rsid w:val="206F2A21"/>
    <w:rsid w:val="21651D3E"/>
    <w:rsid w:val="23E1293E"/>
    <w:rsid w:val="29373FB6"/>
    <w:rsid w:val="29491A44"/>
    <w:rsid w:val="29A265E5"/>
    <w:rsid w:val="31DE6AA2"/>
    <w:rsid w:val="331B1C3E"/>
    <w:rsid w:val="34301016"/>
    <w:rsid w:val="3517070D"/>
    <w:rsid w:val="35865824"/>
    <w:rsid w:val="359478C3"/>
    <w:rsid w:val="363D2084"/>
    <w:rsid w:val="38721267"/>
    <w:rsid w:val="38F76E2A"/>
    <w:rsid w:val="397A3554"/>
    <w:rsid w:val="39A6165B"/>
    <w:rsid w:val="3A7B3A28"/>
    <w:rsid w:val="3CEA208C"/>
    <w:rsid w:val="3DD65F5D"/>
    <w:rsid w:val="3DFD6717"/>
    <w:rsid w:val="40A44847"/>
    <w:rsid w:val="411D604A"/>
    <w:rsid w:val="421A1DBC"/>
    <w:rsid w:val="4C4C0073"/>
    <w:rsid w:val="4F4345B6"/>
    <w:rsid w:val="528569F6"/>
    <w:rsid w:val="59EA3696"/>
    <w:rsid w:val="5A9A53AC"/>
    <w:rsid w:val="5DE41146"/>
    <w:rsid w:val="5E5A53D0"/>
    <w:rsid w:val="60F16261"/>
    <w:rsid w:val="61EA0548"/>
    <w:rsid w:val="621B0399"/>
    <w:rsid w:val="665665FA"/>
    <w:rsid w:val="6A0C4F0B"/>
    <w:rsid w:val="6A264F64"/>
    <w:rsid w:val="74CA5B51"/>
    <w:rsid w:val="74EF6672"/>
    <w:rsid w:val="75045F0F"/>
    <w:rsid w:val="7A7A6EC4"/>
    <w:rsid w:val="7B451934"/>
    <w:rsid w:val="7BB302F8"/>
    <w:rsid w:val="7CAA6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unhideWhenUsed/>
    <w:qFormat/>
    <w:uiPriority w:val="9"/>
    <w:pPr>
      <w:outlineLvl w:val="3"/>
    </w:pPr>
    <w:rPr>
      <w:szCs w:val="28"/>
    </w:rPr>
  </w:style>
  <w:style w:type="character" w:default="1" w:styleId="12">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3">
    <w:name w:val="Normal Indent"/>
    <w:basedOn w:val="1"/>
    <w:qFormat/>
    <w:uiPriority w:val="0"/>
    <w:pPr>
      <w:adjustRightInd/>
      <w:snapToGrid/>
      <w:spacing w:after="0"/>
      <w:ind w:firstLine="420"/>
    </w:pPr>
    <w:rPr>
      <w:rFonts w:eastAsia="宋体" w:asciiTheme="minorHAnsi" w:hAnsiTheme="minorHAnsi"/>
      <w:kern w:val="2"/>
      <w:sz w:val="21"/>
    </w:rPr>
  </w:style>
  <w:style w:type="paragraph" w:styleId="4">
    <w:name w:val="Body Text"/>
    <w:basedOn w:val="1"/>
    <w:next w:val="5"/>
    <w:qFormat/>
    <w:uiPriority w:val="0"/>
    <w:pPr>
      <w:widowControl w:val="0"/>
      <w:adjustRightInd/>
      <w:snapToGrid/>
      <w:spacing w:after="0"/>
      <w:ind w:right="491"/>
      <w:jc w:val="both"/>
    </w:pPr>
    <w:rPr>
      <w:rFonts w:ascii="楷体_GB2312" w:hAnsi="Calibri"/>
      <w:kern w:val="2"/>
      <w:sz w:val="21"/>
      <w:szCs w:val="24"/>
    </w:rPr>
  </w:style>
  <w:style w:type="paragraph" w:styleId="5">
    <w:name w:val="Body Text 2"/>
    <w:basedOn w:val="1"/>
    <w:next w:val="4"/>
    <w:semiHidden/>
    <w:unhideWhenUsed/>
    <w:qFormat/>
    <w:uiPriority w:val="99"/>
    <w:pPr>
      <w:spacing w:after="120" w:line="480" w:lineRule="auto"/>
    </w:pPr>
  </w:style>
  <w:style w:type="paragraph" w:styleId="6">
    <w:name w:val="Plain Text"/>
    <w:basedOn w:val="1"/>
    <w:qFormat/>
    <w:uiPriority w:val="0"/>
    <w:rPr>
      <w:rFonts w:ascii="宋体" w:hAnsi="Courier New"/>
    </w:rPr>
  </w:style>
  <w:style w:type="paragraph" w:styleId="7">
    <w:name w:val="footer"/>
    <w:basedOn w:val="1"/>
    <w:link w:val="15"/>
    <w:unhideWhenUsed/>
    <w:qFormat/>
    <w:uiPriority w:val="99"/>
    <w:pPr>
      <w:tabs>
        <w:tab w:val="center" w:pos="4153"/>
        <w:tab w:val="right" w:pos="8306"/>
      </w:tabs>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jc w:val="center"/>
    </w:pPr>
    <w:rPr>
      <w:sz w:val="18"/>
      <w:szCs w:val="18"/>
    </w:rPr>
  </w:style>
  <w:style w:type="paragraph" w:styleId="9">
    <w:name w:val="Normal (Web)"/>
    <w:basedOn w:val="1"/>
    <w:qFormat/>
    <w:uiPriority w:val="99"/>
    <w:pPr>
      <w:jc w:val="left"/>
    </w:pPr>
    <w:rPr>
      <w:kern w:val="0"/>
      <w:sz w:val="24"/>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sz w:val="24"/>
      <w:szCs w:val="24"/>
    </w:rPr>
  </w:style>
  <w:style w:type="character" w:customStyle="1" w:styleId="14">
    <w:name w:val="页眉 Char"/>
    <w:basedOn w:val="12"/>
    <w:link w:val="8"/>
    <w:semiHidden/>
    <w:qFormat/>
    <w:uiPriority w:val="99"/>
    <w:rPr>
      <w:rFonts w:ascii="Tahoma" w:hAnsi="Tahoma"/>
      <w:sz w:val="18"/>
      <w:szCs w:val="18"/>
    </w:rPr>
  </w:style>
  <w:style w:type="character" w:customStyle="1" w:styleId="15">
    <w:name w:val="页脚 Char"/>
    <w:basedOn w:val="12"/>
    <w:link w:val="7"/>
    <w:semiHidden/>
    <w:qFormat/>
    <w:uiPriority w:val="99"/>
    <w:rPr>
      <w:rFonts w:ascii="Tahoma" w:hAnsi="Tahoma"/>
      <w:sz w:val="18"/>
      <w:szCs w:val="18"/>
    </w:rPr>
  </w:style>
  <w:style w:type="paragraph" w:customStyle="1" w:styleId="16">
    <w:name w:val="p0"/>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7">
    <w:name w:val="List Paragraph"/>
    <w:basedOn w:val="1"/>
    <w:qFormat/>
    <w:uiPriority w:val="34"/>
    <w:pPr>
      <w:ind w:firstLine="420" w:firstLineChars="200"/>
    </w:pPr>
  </w:style>
  <w:style w:type="character" w:customStyle="1" w:styleId="18">
    <w:name w:val="font41"/>
    <w:basedOn w:val="12"/>
    <w:qFormat/>
    <w:uiPriority w:val="0"/>
    <w:rPr>
      <w:rFonts w:hint="eastAsia" w:ascii="宋体" w:hAnsi="宋体" w:eastAsia="宋体" w:cs="宋体"/>
      <w:color w:val="000000"/>
      <w:sz w:val="22"/>
      <w:szCs w:val="22"/>
      <w:u w:val="none"/>
    </w:rPr>
  </w:style>
  <w:style w:type="paragraph" w:styleId="19">
    <w:name w:val="No Spacing"/>
    <w:qFormat/>
    <w:uiPriority w:val="1"/>
    <w:pPr>
      <w:widowControl w:val="0"/>
      <w:jc w:val="both"/>
    </w:pPr>
    <w:rPr>
      <w:rFonts w:ascii="Calibri" w:hAnsi="Calibri" w:eastAsia="宋体" w:cs="Times New Roman"/>
      <w:kern w:val="2"/>
      <w:sz w:val="21"/>
      <w:szCs w:val="24"/>
      <w:lang w:val="en-US" w:eastAsia="zh-CN" w:bidi="ar-SA"/>
    </w:rPr>
  </w:style>
  <w:style w:type="paragraph" w:customStyle="1" w:styleId="20">
    <w:name w:val="null3"/>
    <w:qFormat/>
    <w:uiPriority w:val="0"/>
    <w:rPr>
      <w:rFonts w:hint="eastAsia" w:ascii="Calibri" w:hAnsi="Calibri" w:eastAsia="宋体" w:cs="Times New Roman"/>
      <w:lang w:val="en-US" w:eastAsia="zh-Hans" w:bidi="ar-SA"/>
    </w:rPr>
  </w:style>
  <w:style w:type="character" w:customStyle="1" w:styleId="21">
    <w:name w:val="font31"/>
    <w:basedOn w:val="12"/>
    <w:qFormat/>
    <w:uiPriority w:val="0"/>
    <w:rPr>
      <w:rFonts w:hint="eastAsia" w:ascii="宋体" w:hAnsi="宋体" w:eastAsia="宋体" w:cs="宋体"/>
      <w:color w:val="000000"/>
      <w:sz w:val="40"/>
      <w:szCs w:val="40"/>
      <w:u w:val="none"/>
    </w:rPr>
  </w:style>
  <w:style w:type="character" w:customStyle="1" w:styleId="22">
    <w:name w:val="font11"/>
    <w:basedOn w:val="12"/>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2508</Words>
  <Characters>2830</Characters>
  <Lines>31</Lines>
  <Paragraphs>8</Paragraphs>
  <TotalTime>0</TotalTime>
  <ScaleCrop>false</ScaleCrop>
  <LinksUpToDate>false</LinksUpToDate>
  <CharactersWithSpaces>3002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Administrator.YH--20190429GED</dc:creator>
  <cp:lastModifiedBy>土豆爸</cp:lastModifiedBy>
  <dcterms:modified xsi:type="dcterms:W3CDTF">2025-12-23T02:48:12Z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3344C7C4FFFA4F10B19CE0A3A98DFBEB_13</vt:lpwstr>
  </property>
  <property fmtid="{D5CDD505-2E9C-101B-9397-08002B2CF9AE}" pid="4" name="KSOTemplateDocerSaveRecord">
    <vt:lpwstr>eyJoZGlkIjoiMDY5NmFjMmM4ZTljMGJiZDAxN2JmYTc0NGI0NmFiNDgiLCJ1c2VySWQiOiIxMTQxOTA2MzAwIn0=</vt:lpwstr>
  </property>
</Properties>
</file>