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财贸职高新校区（职教园区）数字化校园AI动态监测平台服务项目</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财贸职高新校区（职教园区）数字化校园AI动态监测平台服务</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705B34F2">
      <w:pPr>
        <w:numPr>
          <w:ilvl w:val="0"/>
          <w:numId w:val="0"/>
        </w:numPr>
        <w:spacing w:line="240" w:lineRule="auto"/>
        <w:ind w:firstLine="480" w:firstLineChars="200"/>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一、中心机房图：详见附件1</w:t>
      </w:r>
    </w:p>
    <w:p w14:paraId="2ECD0FD7">
      <w:pPr>
        <w:numPr>
          <w:ilvl w:val="0"/>
          <w:numId w:val="0"/>
        </w:numPr>
        <w:spacing w:line="240" w:lineRule="auto"/>
        <w:ind w:firstLine="960" w:firstLineChars="4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3</w:t>
      </w:r>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1.报价资料的组成应按我司提供清单内容进行报价并加盖单位公章，报价应包含设备费用、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016E9296">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08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4A1EBA52">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EC429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1</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数字化校园AI动态监测平台部署场地</w:t>
      </w:r>
    </w:p>
    <w:p w14:paraId="1C6B69C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4848860" cy="2636520"/>
            <wp:effectExtent l="0" t="0" r="8890" b="11430"/>
            <wp:docPr id="3" name="图片 3" descr="1fd2d0d6-7c76-4d2d-b682-d1ba140a4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fd2d0d6-7c76-4d2d-b682-d1ba140a4422"/>
                    <pic:cNvPicPr>
                      <a:picLocks noChangeAspect="1"/>
                    </pic:cNvPicPr>
                  </pic:nvPicPr>
                  <pic:blipFill>
                    <a:blip r:embed="rId7"/>
                    <a:stretch>
                      <a:fillRect/>
                    </a:stretch>
                  </pic:blipFill>
                  <pic:spPr>
                    <a:xfrm>
                      <a:off x="0" y="0"/>
                      <a:ext cx="4848860" cy="2636520"/>
                    </a:xfrm>
                    <a:prstGeom prst="rect">
                      <a:avLst/>
                    </a:prstGeom>
                  </pic:spPr>
                </pic:pic>
              </a:graphicData>
            </a:graphic>
          </wp:inline>
        </w:drawing>
      </w:r>
    </w:p>
    <w:p w14:paraId="3086DCB5">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kern w:val="2"/>
          <w:sz w:val="28"/>
          <w:szCs w:val="28"/>
          <w:lang w:val="en-US" w:eastAsia="zh-CN"/>
        </w:rPr>
      </w:pPr>
      <w:r>
        <w:drawing>
          <wp:inline distT="0" distB="0" distL="114300" distR="114300">
            <wp:extent cx="4740275" cy="2950210"/>
            <wp:effectExtent l="0" t="0" r="317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740275" cy="2950210"/>
                    </a:xfrm>
                    <a:prstGeom prst="rect">
                      <a:avLst/>
                    </a:prstGeom>
                    <a:noFill/>
                    <a:ln>
                      <a:noFill/>
                    </a:ln>
                  </pic:spPr>
                </pic:pic>
              </a:graphicData>
            </a:graphic>
          </wp:inline>
        </w:drawing>
      </w:r>
    </w:p>
    <w:p w14:paraId="19FAB378">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t>学校新校区（金牛区职教园区）教学用地76亩，规划建筑面积87672平方米</w:t>
      </w:r>
      <w:r>
        <w:rPr>
          <w:rFonts w:hint="eastAsia" w:ascii="宋体" w:hAnsi="宋体" w:eastAsia="宋体" w:cs="宋体"/>
          <w:kern w:val="2"/>
          <w:sz w:val="28"/>
          <w:szCs w:val="28"/>
          <w:lang w:val="en-US" w:eastAsia="zh-CN"/>
        </w:rPr>
        <w:t>，拟部署数字化校园AI动态监测平台部署场地约90平方米，横向约9.2米，纵向约9.7米。</w:t>
      </w:r>
    </w:p>
    <w:p w14:paraId="11173635">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25756726">
      <w:pPr>
        <w:rPr>
          <w:rFonts w:hint="eastAsia" w:ascii="宋体" w:hAnsi="宋体" w:eastAsia="宋体" w:cs="宋体"/>
          <w:kern w:val="2"/>
          <w:sz w:val="28"/>
          <w:szCs w:val="28"/>
        </w:rPr>
      </w:pP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2</w:t>
      </w:r>
      <w:r>
        <w:rPr>
          <w:rFonts w:hint="eastAsia" w:ascii="宋体" w:hAnsi="宋体" w:eastAsia="宋体" w:cs="宋体"/>
          <w:kern w:val="2"/>
          <w:sz w:val="28"/>
          <w:szCs w:val="28"/>
        </w:rPr>
        <w:t>：</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财贸职高新校区（职教园区）数字化校园AI动态监测平台服务</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3</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w:t>
      </w:r>
      <w:r>
        <w:rPr>
          <w:rFonts w:hint="eastAsia" w:ascii="宋体" w:hAnsi="宋体" w:eastAsia="宋体" w:cs="宋体"/>
          <w:kern w:val="2"/>
          <w:sz w:val="24"/>
          <w:szCs w:val="24"/>
          <w:lang w:val="en-US" w:eastAsia="zh-CN"/>
        </w:rPr>
        <w:t>2025</w:t>
      </w:r>
      <w:r>
        <w:rPr>
          <w:rFonts w:hint="eastAsia" w:ascii="宋体" w:hAnsi="宋体" w:eastAsia="宋体" w:cs="宋体"/>
          <w:kern w:val="2"/>
          <w:sz w:val="24"/>
          <w:szCs w:val="24"/>
        </w:rPr>
        <w:t>年</w:t>
      </w:r>
      <w:r>
        <w:rPr>
          <w:rFonts w:hint="eastAsia"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rPr>
        <w:t>月</w:t>
      </w:r>
      <w:r>
        <w:rPr>
          <w:rFonts w:hint="eastAsia" w:ascii="宋体" w:hAnsi="宋体" w:eastAsia="宋体" w:cs="宋体"/>
          <w:kern w:val="2"/>
          <w:sz w:val="24"/>
          <w:szCs w:val="24"/>
          <w:u w:val="single"/>
          <w:lang w:val="en-US" w:eastAsia="zh-CN"/>
        </w:rPr>
        <w:t xml:space="preserve">     </w:t>
      </w:r>
      <w:r>
        <w:rPr>
          <w:rFonts w:hint="eastAsia" w:ascii="宋体" w:hAnsi="宋体" w:eastAsia="宋体" w:cs="宋体"/>
          <w:kern w:val="2"/>
          <w:sz w:val="24"/>
          <w:szCs w:val="24"/>
        </w:rPr>
        <w:t>日</w:t>
      </w:r>
    </w:p>
    <w:p w14:paraId="245395E8">
      <w:pPr>
        <w:spacing w:line="480" w:lineRule="exact"/>
        <w:rPr>
          <w:rFonts w:hint="eastAsia" w:ascii="宋体" w:hAnsi="宋体" w:eastAsia="宋体" w:cs="宋体"/>
          <w:sz w:val="28"/>
          <w:szCs w:val="28"/>
        </w:rPr>
      </w:pPr>
    </w:p>
    <w:p w14:paraId="47A59870">
      <w:pPr>
        <w:rPr>
          <w:rFonts w:hint="eastAsia" w:ascii="宋体" w:hAnsi="宋体" w:eastAsia="宋体" w:cs="宋体"/>
          <w:sz w:val="28"/>
          <w:szCs w:val="28"/>
        </w:rPr>
      </w:pPr>
      <w:r>
        <w:rPr>
          <w:rFonts w:hint="eastAsia" w:ascii="宋体" w:hAnsi="宋体" w:eastAsia="宋体" w:cs="宋体"/>
          <w:sz w:val="28"/>
          <w:szCs w:val="28"/>
        </w:rPr>
        <w:br w:type="page"/>
      </w:r>
    </w:p>
    <w:p w14:paraId="54625209">
      <w:pPr>
        <w:rPr>
          <w:rFonts w:hint="eastAsia" w:ascii="宋体" w:hAnsi="宋体" w:eastAsia="宋体" w:cs="宋体"/>
          <w:sz w:val="28"/>
          <w:szCs w:val="28"/>
        </w:rPr>
      </w:pPr>
    </w:p>
    <w:p w14:paraId="5993F181">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eastAsia="zh-CN"/>
        </w:rPr>
        <w:t>清单报价表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1425"/>
        <w:gridCol w:w="4325"/>
        <w:gridCol w:w="462"/>
        <w:gridCol w:w="500"/>
        <w:gridCol w:w="488"/>
        <w:gridCol w:w="500"/>
        <w:gridCol w:w="425"/>
        <w:gridCol w:w="462"/>
        <w:gridCol w:w="466"/>
      </w:tblGrid>
      <w:tr w14:paraId="1B5C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shd w:val="clear" w:color="auto" w:fill="auto"/>
            <w:vAlign w:val="center"/>
          </w:tcPr>
          <w:p w14:paraId="32A8819D">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1425" w:type="dxa"/>
            <w:shd w:val="clear" w:color="auto" w:fill="auto"/>
            <w:vAlign w:val="center"/>
          </w:tcPr>
          <w:p w14:paraId="261CE241">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4325" w:type="dxa"/>
            <w:shd w:val="clear" w:color="auto" w:fill="auto"/>
            <w:vAlign w:val="center"/>
          </w:tcPr>
          <w:p w14:paraId="69AC123D">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left"/>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462" w:type="dxa"/>
            <w:shd w:val="clear" w:color="auto" w:fill="auto"/>
            <w:vAlign w:val="center"/>
          </w:tcPr>
          <w:p w14:paraId="7B191B16">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500" w:type="dxa"/>
            <w:shd w:val="clear" w:color="auto" w:fill="auto"/>
            <w:vAlign w:val="center"/>
          </w:tcPr>
          <w:p w14:paraId="18D23201">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488" w:type="dxa"/>
            <w:shd w:val="clear" w:color="auto" w:fill="auto"/>
            <w:vAlign w:val="center"/>
          </w:tcPr>
          <w:p w14:paraId="5588CE1B">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500" w:type="dxa"/>
            <w:shd w:val="clear" w:color="auto" w:fill="auto"/>
            <w:vAlign w:val="center"/>
          </w:tcPr>
          <w:p w14:paraId="32618093">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425" w:type="dxa"/>
            <w:shd w:val="clear" w:color="auto" w:fill="auto"/>
            <w:vAlign w:val="center"/>
          </w:tcPr>
          <w:p w14:paraId="7B946363">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462" w:type="dxa"/>
            <w:shd w:val="clear" w:color="auto" w:fill="auto"/>
            <w:vAlign w:val="center"/>
          </w:tcPr>
          <w:p w14:paraId="426B427A">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466" w:type="dxa"/>
            <w:shd w:val="clear" w:color="auto" w:fill="auto"/>
            <w:vAlign w:val="center"/>
          </w:tcPr>
          <w:p w14:paraId="1C7B0486">
            <w:pPr>
              <w:keepNext w:val="0"/>
              <w:keepLines w:val="0"/>
              <w:pageBreakBefore w:val="0"/>
              <w:widowControl/>
              <w:suppressLineNumbers w:val="0"/>
              <w:kinsoku/>
              <w:wordWrap/>
              <w:overflowPunct/>
              <w:topLinePunct w:val="0"/>
              <w:autoSpaceDE/>
              <w:autoSpaceDN/>
              <w:bidi w:val="0"/>
              <w:spacing w:after="0" w:line="240" w:lineRule="auto"/>
              <w:ind w:left="0" w:leftChars="0"/>
              <w:jc w:val="left"/>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26DF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9876833">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eastAsia" w:ascii="宋体" w:hAnsi="宋体" w:eastAsia="宋体" w:cs="宋体"/>
                <w:sz w:val="18"/>
                <w:szCs w:val="18"/>
                <w:vertAlign w:val="baseline"/>
                <w:lang w:eastAsia="zh-CN"/>
              </w:rPr>
            </w:pPr>
            <w:r>
              <w:rPr>
                <w:rFonts w:hint="eastAsia" w:ascii="宋体" w:hAnsi="宋体" w:eastAsia="宋体" w:cs="宋体"/>
                <w:sz w:val="18"/>
                <w:szCs w:val="18"/>
                <w:lang w:val="en-US" w:eastAsia="zh-CN"/>
              </w:rPr>
              <w:t>1</w:t>
            </w:r>
          </w:p>
        </w:tc>
        <w:tc>
          <w:tcPr>
            <w:tcW w:w="1425" w:type="dxa"/>
            <w:vAlign w:val="top"/>
          </w:tcPr>
          <w:p w14:paraId="3018BD5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数字化校园动态监测平台</w:t>
            </w:r>
          </w:p>
        </w:tc>
        <w:tc>
          <w:tcPr>
            <w:tcW w:w="4325" w:type="dxa"/>
            <w:vAlign w:val="top"/>
          </w:tcPr>
          <w:p w14:paraId="72FDE58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平台至少包含数字孪生基础引擎、数字孪生管理模块、数据集成与治理模块等，为整个校园的数字化呈现与智能分析提供底层支撑。平台需具备高自主可控性、良好的开放性和扩展性，支持低代码配置和二次开发，以适应未来业务发展需求。</w:t>
            </w:r>
          </w:p>
          <w:p w14:paraId="32F0D40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2、核心三维渲染引擎需自主可控、高自研，非第三方商业引擎二次封装，确保技术自主可控</w:t>
            </w:r>
            <w:r>
              <w:rPr>
                <w:rFonts w:hint="eastAsia" w:ascii="宋体" w:hAnsi="宋体" w:cs="宋体"/>
                <w:i w:val="0"/>
                <w:iCs w:val="0"/>
                <w:color w:val="000000"/>
                <w:kern w:val="0"/>
                <w:sz w:val="18"/>
                <w:szCs w:val="18"/>
                <w:u w:val="none"/>
                <w:lang w:val="en-US" w:eastAsia="zh-CN" w:bidi="ar"/>
              </w:rPr>
              <w:t>。</w:t>
            </w:r>
          </w:p>
          <w:p w14:paraId="0A69792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3、平台采用B/S架构和微服务设计，支持低代码配置，便于后期维护与功能扩展。</w:t>
            </w:r>
          </w:p>
          <w:p w14:paraId="04BB3C7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4、平台需采用微服务架构设计，采用业界常见的软件开发语言、软件开发框架及开源组件，支持采用国产化数据库或开源数据库，兼容主流的服务器操作系统和国产化服务器操作系统适配。</w:t>
            </w:r>
          </w:p>
          <w:p w14:paraId="04ED010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5、平台的服务端支持私有化部署、公有云部署、容器部署等多种环境部署，支持高可用部署方案，支持国产信创环境部署运行。</w:t>
            </w:r>
          </w:p>
          <w:p w14:paraId="75EB9D3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6、平台支持实时数据对象可视化，包括数据库实时数据提取、通过调用第三方接口获取准实时数据、通过接口实时接收第三方接口实时发送数据等方式实现，平台提供 API 接口规范、文档齐全。</w:t>
            </w:r>
          </w:p>
          <w:p w14:paraId="59FE431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7、平台支持在三维空间中对项目各类设备设施的分布点位进行精确还原和设备进行精细化建模，须采用三维模型与实际物理位置映射，不采用简单的点位标记方式实现。</w:t>
            </w:r>
          </w:p>
          <w:p w14:paraId="2D9AB90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8、为保障后期的系统维护和功能扩展，平台需采用低代码的方式进行建设，降低后期系统调整维护的门槛和二次开发的成本。</w:t>
            </w:r>
          </w:p>
          <w:p w14:paraId="18272F0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9、平台前端需根据指挥中心大屏幕的物理分辨率来设定整个场景的分辨率。</w:t>
            </w:r>
          </w:p>
          <w:p w14:paraId="1AB1A05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数字孪生管理模块：</w:t>
            </w:r>
          </w:p>
          <w:p w14:paraId="589E1F1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10、支持在三维场景内根据对象标注重点部位、楼宇消防设备、疏散设施、功能分区、安防设备等。</w:t>
            </w:r>
          </w:p>
          <w:p w14:paraId="461F841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11、支持导入CAD设备点位图纸，识别CAD图纸中设备对象，设置设备离地高度/旋转角度，通过模型库匹配设备模型，实现基于CAD图纸的自动点位创建。</w:t>
            </w:r>
          </w:p>
          <w:p w14:paraId="23D81C4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12、支持对象管理包括建筑、楼层、房间、设备等对象，并支持对象构建，包含：对象属性定义、字段构建规则设计、属性表单自定义配置、关联对象三维模型、对象的增删改查、对象的批量管理等功能。</w:t>
            </w:r>
          </w:p>
          <w:p w14:paraId="798E9BA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13、支持对项目内部的告警级别进行自定义，支持配置告警级别与系统内置的告警级别的关系，告警优先级。</w:t>
            </w:r>
          </w:p>
          <w:p w14:paraId="5BA5E62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14、平台支持用户权限管理，可配置用户角色、用户部门，支持用户管理，支持更换密码，保证登录用户只可对操作权限内的数据进行访问，防止信息泄露和被非授权人员所干扰。</w:t>
            </w:r>
          </w:p>
          <w:p w14:paraId="6CE4D76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15、支持账号密码登陆，并进行用户账号密码安全管理，提供登陆验证码、密码输错锁定等功能。</w:t>
            </w:r>
          </w:p>
          <w:p w14:paraId="22D86FF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16、平台支持访问日志和操作记录，系统中发生的所有系统操作均需保存在日志数据库中可查询，所有日志记录一旦生成，无法手工删除。</w:t>
            </w:r>
          </w:p>
          <w:p w14:paraId="72B6DDB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17、平台支持附件管理，包括支持文件的下载，附件常见格式文件，如：word、ppt、xls、pdf、音视频、图片、压缩包。</w:t>
            </w:r>
          </w:p>
          <w:p w14:paraId="1D4831D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18、平台支持三维场景风格一键切换能力，内置不少于5种效果模板供一键切换效果风格使用。</w:t>
            </w:r>
          </w:p>
          <w:p w14:paraId="7F34CF2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FF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19、支持模型管理，可对模型进行上传、下载、搜索、预览等操作。</w:t>
            </w:r>
          </w:p>
          <w:p w14:paraId="0A84880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FF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20、平台支持对机房可视化管理的配置功能，支持导入台账数据的方式接入数据生成三维场景，可以通过维护台账信息实现对三维场景进行维护，支持通过页面方式修改设备信息。</w:t>
            </w:r>
          </w:p>
          <w:p w14:paraId="79E9CD9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21、平台支持对机房可视化管理的配置功能，支持在前端页面查找架式设备库存，并对设备进行上架操作。</w:t>
            </w:r>
          </w:p>
          <w:p w14:paraId="205A9B9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FF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22、平台支持对机房可视化管理的控件搜索功能，支持在前端页面输入U高、功耗、承重及自定义条件对机房空间进行查询，为设备上架提供支持。</w:t>
            </w:r>
          </w:p>
          <w:p w14:paraId="0FCF6DB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23、支持第三方数据接入管理与第三方数据接入、解析等功能。包括但不限于接入Web Service服务、关系型数据库、物联网、视频实时数据等。</w:t>
            </w:r>
          </w:p>
          <w:p w14:paraId="4A435EC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24、支持发送数据至各个存储或消息队列软件，至少需要包含将数据存入数据库、发送到消息队列、发送到指定http地址等方式</w:t>
            </w:r>
            <w:r>
              <w:rPr>
                <w:rFonts w:hint="eastAsia" w:ascii="宋体" w:hAnsi="宋体" w:cs="宋体"/>
                <w:i w:val="0"/>
                <w:iCs w:val="0"/>
                <w:color w:val="000000"/>
                <w:kern w:val="0"/>
                <w:sz w:val="18"/>
                <w:szCs w:val="18"/>
                <w:u w:val="none"/>
                <w:lang w:val="en-US" w:eastAsia="zh-CN" w:bidi="ar"/>
              </w:rPr>
              <w:t>。</w:t>
            </w:r>
          </w:p>
          <w:p w14:paraId="0CAAAD8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25、支持定制化修改接口，具备在线编辑修改的能力，支持基于JavaScript 语言对接入的数据编辑处理，集成处理即时生效，无需编译部署</w:t>
            </w:r>
            <w:r>
              <w:rPr>
                <w:rFonts w:hint="eastAsia" w:ascii="宋体" w:hAnsi="宋体" w:cs="宋体"/>
                <w:i w:val="0"/>
                <w:iCs w:val="0"/>
                <w:color w:val="000000"/>
                <w:kern w:val="0"/>
                <w:sz w:val="18"/>
                <w:szCs w:val="18"/>
                <w:u w:val="none"/>
                <w:lang w:val="en-US" w:eastAsia="zh-CN" w:bidi="ar"/>
              </w:rPr>
              <w:t>。</w:t>
            </w:r>
          </w:p>
          <w:p w14:paraId="061EA03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25、需支持RestAPI、JDBC、Socket、MQ等通用协议接口。工具应支持在线管理所有已集成的接口，包括对接口的启用、停止、状态查看和日志查询等。</w:t>
            </w:r>
          </w:p>
        </w:tc>
        <w:tc>
          <w:tcPr>
            <w:tcW w:w="462" w:type="dxa"/>
            <w:vAlign w:val="center"/>
          </w:tcPr>
          <w:p w14:paraId="1D95CCC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5BD7D2D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DC4C1F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7E47904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05066CC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5FE33B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62933A5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A31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32E4BBE6">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eastAsia" w:ascii="宋体" w:hAnsi="宋体" w:eastAsia="宋体" w:cs="宋体"/>
                <w:sz w:val="18"/>
                <w:szCs w:val="18"/>
                <w:vertAlign w:val="baseline"/>
                <w:lang w:eastAsia="zh-CN"/>
              </w:rPr>
            </w:pPr>
            <w:r>
              <w:rPr>
                <w:rFonts w:hint="eastAsia" w:ascii="宋体" w:hAnsi="宋体" w:eastAsia="宋体" w:cs="宋体"/>
                <w:sz w:val="18"/>
                <w:szCs w:val="18"/>
                <w:lang w:val="en-US" w:eastAsia="zh-CN"/>
              </w:rPr>
              <w:t>2</w:t>
            </w:r>
          </w:p>
        </w:tc>
        <w:tc>
          <w:tcPr>
            <w:tcW w:w="1425" w:type="dxa"/>
            <w:vAlign w:val="top"/>
          </w:tcPr>
          <w:p w14:paraId="78E642F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校园数字孪生模型构建</w:t>
            </w:r>
          </w:p>
        </w:tc>
        <w:tc>
          <w:tcPr>
            <w:tcW w:w="4325" w:type="dxa"/>
            <w:vAlign w:val="top"/>
          </w:tcPr>
          <w:p w14:paraId="7F8D9F2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满足学校新校区（金牛区职教园区）教学用地76亩，规划建筑面积87672平方米，拟部署数字化校园AI动态监测平台部署场地约90平方米。包含室外L1-L3级高精度外观建模及重点区域室内分层建模，实现物理校园在虚拟空间的精准映射。</w:t>
            </w:r>
          </w:p>
          <w:p w14:paraId="5CAB955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模型构建工具要求：</w:t>
            </w:r>
          </w:p>
          <w:p w14:paraId="2D96463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2、支持导入CAD设备点位图，自动识别并匹配三维模型，实现设备点位的快速部署。</w:t>
            </w:r>
          </w:p>
          <w:p w14:paraId="5EB3450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3、提供场景搭建工具，支持拖拽式场景构建，并能导入CAD图纸快速绘制室内结构。</w:t>
            </w:r>
          </w:p>
          <w:p w14:paraId="18AA2A7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default" w:ascii="宋体" w:hAnsi="宋体" w:eastAsia="宋体" w:cs="宋体"/>
                <w:kern w:val="2"/>
                <w:sz w:val="28"/>
                <w:szCs w:val="28"/>
                <w:lang w:val="en-US" w:eastAsia="zh-CN"/>
              </w:rPr>
            </w:pPr>
            <w:r>
              <w:rPr>
                <w:rFonts w:hint="eastAsia" w:ascii="宋体" w:hAnsi="宋体" w:eastAsia="宋体" w:cs="宋体"/>
                <w:i w:val="0"/>
                <w:iCs w:val="0"/>
                <w:color w:val="000000"/>
                <w:kern w:val="0"/>
                <w:sz w:val="18"/>
                <w:szCs w:val="18"/>
                <w:u w:val="none"/>
                <w:lang w:val="en-US" w:eastAsia="zh-CN" w:bidi="ar"/>
              </w:rPr>
              <w:t>4、需兼容主流三维模型格式（如FBX, OBJ等），并提供模型上传、预览和管理功能。</w:t>
            </w:r>
          </w:p>
        </w:tc>
        <w:tc>
          <w:tcPr>
            <w:tcW w:w="462" w:type="dxa"/>
            <w:vAlign w:val="center"/>
          </w:tcPr>
          <w:p w14:paraId="43C4F4D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1A1DAA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495606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0EDDE32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2BC8E7B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EE432A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0BE56AC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6508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8B8F4CA">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eastAsia" w:ascii="宋体" w:hAnsi="宋体" w:eastAsia="宋体" w:cs="宋体"/>
                <w:sz w:val="18"/>
                <w:szCs w:val="18"/>
                <w:vertAlign w:val="baseline"/>
                <w:lang w:eastAsia="zh-CN"/>
              </w:rPr>
            </w:pPr>
            <w:r>
              <w:rPr>
                <w:rFonts w:hint="eastAsia" w:ascii="宋体" w:hAnsi="宋体" w:eastAsia="宋体" w:cs="宋体"/>
                <w:sz w:val="18"/>
                <w:szCs w:val="18"/>
                <w:lang w:val="en-US" w:eastAsia="zh-CN"/>
              </w:rPr>
              <w:t>3</w:t>
            </w:r>
          </w:p>
        </w:tc>
        <w:tc>
          <w:tcPr>
            <w:tcW w:w="1425" w:type="dxa"/>
            <w:vAlign w:val="top"/>
          </w:tcPr>
          <w:p w14:paraId="12448A4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应用场景-综合校情</w:t>
            </w:r>
          </w:p>
        </w:tc>
        <w:tc>
          <w:tcPr>
            <w:tcW w:w="4325" w:type="dxa"/>
            <w:vAlign w:val="top"/>
          </w:tcPr>
          <w:p w14:paraId="1DB61D3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综合校情监测：</w:t>
            </w:r>
          </w:p>
          <w:p w14:paraId="283C27F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1、核心指标总览：在三维校园场景中，通过数据面板集中展示师生总数、资产总值、占地面积、建筑面积等校园核心静态与动态数据，形成校园运行的整体画像。</w:t>
            </w:r>
          </w:p>
          <w:p w14:paraId="7309F1B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2、人员数据统计：可视化展示学生、教职工的分类统计信息，如各院系学生人数、教职工职称结构等，直观反映人力资源概况。</w:t>
            </w:r>
          </w:p>
          <w:p w14:paraId="6EAD1BA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3、资产与空间概况：展示固定资产、教学空间等资源的分类统计与分布情况，实现对校园资源的宏观掌控 。</w:t>
            </w:r>
          </w:p>
        </w:tc>
        <w:tc>
          <w:tcPr>
            <w:tcW w:w="462" w:type="dxa"/>
            <w:vAlign w:val="center"/>
          </w:tcPr>
          <w:p w14:paraId="20322ED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3FD142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711FB3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17AC09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7206534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8AA298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3A0D8C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390E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3FAB9160">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eastAsia" w:ascii="宋体" w:hAnsi="宋体" w:eastAsia="宋体" w:cs="宋体"/>
                <w:sz w:val="18"/>
                <w:szCs w:val="18"/>
                <w:vertAlign w:val="baseline"/>
                <w:lang w:eastAsia="zh-CN"/>
              </w:rPr>
            </w:pPr>
            <w:r>
              <w:rPr>
                <w:rFonts w:hint="eastAsia" w:ascii="宋体" w:hAnsi="宋体" w:eastAsia="宋体" w:cs="宋体"/>
                <w:sz w:val="18"/>
                <w:szCs w:val="18"/>
                <w:lang w:val="en-US" w:eastAsia="zh-CN"/>
              </w:rPr>
              <w:t>4</w:t>
            </w:r>
          </w:p>
        </w:tc>
        <w:tc>
          <w:tcPr>
            <w:tcW w:w="1425" w:type="dxa"/>
            <w:vAlign w:val="top"/>
          </w:tcPr>
          <w:p w14:paraId="448A3CC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应用场景-师生发展</w:t>
            </w:r>
          </w:p>
        </w:tc>
        <w:tc>
          <w:tcPr>
            <w:tcW w:w="4325" w:type="dxa"/>
            <w:vAlign w:val="top"/>
          </w:tcPr>
          <w:p w14:paraId="3B9FB72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师生发展态势监测：</w:t>
            </w:r>
          </w:p>
          <w:p w14:paraId="4AAC9C0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1、学生状态数据总览：汇聚展示全校范围内的学生出勤率、归寝率等关键状态指标，对整体学生在校情况进行宏观监测。</w:t>
            </w:r>
          </w:p>
          <w:p w14:paraId="1F79B63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2、师生画像与素养评估：基于大数据构建师生个人成长画像，展示学生人工智能素养评估报告（通识/专业/行业三层级）及教师人工智能教学胜任力雷达图，支持全生命周期发展数据追踪 。</w:t>
            </w:r>
          </w:p>
          <w:p w14:paraId="2560D35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3、荣誉与成果展示：在三维场景中动态展示师生获奖证书、优秀作品及技能大赛成果，直观呈现人才培养成效。</w:t>
            </w:r>
          </w:p>
        </w:tc>
        <w:tc>
          <w:tcPr>
            <w:tcW w:w="462" w:type="dxa"/>
            <w:vAlign w:val="center"/>
          </w:tcPr>
          <w:p w14:paraId="66D041F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23AC6D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69C0828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4728DE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3FEDDDD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C30F6E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0167FAC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86EE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5481B8B">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eastAsia" w:ascii="宋体" w:hAnsi="宋体" w:eastAsia="宋体" w:cs="宋体"/>
                <w:sz w:val="18"/>
                <w:szCs w:val="18"/>
                <w:vertAlign w:val="baseline"/>
                <w:lang w:eastAsia="zh-CN"/>
              </w:rPr>
            </w:pPr>
            <w:r>
              <w:rPr>
                <w:rFonts w:hint="eastAsia" w:ascii="宋体" w:hAnsi="宋体" w:eastAsia="宋体" w:cs="宋体"/>
                <w:sz w:val="18"/>
                <w:szCs w:val="18"/>
                <w:lang w:val="en-US" w:eastAsia="zh-CN"/>
              </w:rPr>
              <w:t>5</w:t>
            </w:r>
          </w:p>
        </w:tc>
        <w:tc>
          <w:tcPr>
            <w:tcW w:w="1425" w:type="dxa"/>
            <w:vAlign w:val="top"/>
          </w:tcPr>
          <w:p w14:paraId="4FF7394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应用场景-智慧教学</w:t>
            </w:r>
          </w:p>
        </w:tc>
        <w:tc>
          <w:tcPr>
            <w:tcW w:w="4325" w:type="dxa"/>
            <w:vAlign w:val="top"/>
          </w:tcPr>
          <w:p w14:paraId="472C6CE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教学运行与督导监测：</w:t>
            </w:r>
          </w:p>
          <w:p w14:paraId="38E6E18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1、教学空间状态监控：结合课表信息，在三维地图上实时展示各教室、实训室等教学空间的“上课中”、“空闲”等使用状态 。</w:t>
            </w:r>
          </w:p>
          <w:p w14:paraId="7A12DE4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2、教学运行概览：集中展示当日课程安排、全校开课率、教师到岗率等教学运行核心数据。</w:t>
            </w:r>
          </w:p>
          <w:p w14:paraId="2D92138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3、远程视频巡课：授权管理人员可通过平台，在三维地图上选择指定教室，调阅该教室的实时监控视频，进行在线巡课与督导 。</w:t>
            </w:r>
          </w:p>
        </w:tc>
        <w:tc>
          <w:tcPr>
            <w:tcW w:w="462" w:type="dxa"/>
            <w:vAlign w:val="center"/>
          </w:tcPr>
          <w:p w14:paraId="18558E7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AC09B2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01678EF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693CD6C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35FEEF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2E2FC42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1AED637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F77B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63BFABD1">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425" w:type="dxa"/>
            <w:vAlign w:val="top"/>
          </w:tcPr>
          <w:p w14:paraId="03438E0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应用场景-平安校园</w:t>
            </w:r>
          </w:p>
        </w:tc>
        <w:tc>
          <w:tcPr>
            <w:tcW w:w="4325" w:type="dxa"/>
            <w:vAlign w:val="top"/>
          </w:tcPr>
          <w:p w14:paraId="584AF6E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平安校园态势感知：</w:t>
            </w:r>
          </w:p>
          <w:p w14:paraId="3A746DB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1.安防点位可视化：将视频监控、门禁、周界报警等安防设备在三维地图上进行精准点位呈现，直观展示安防布局。</w:t>
            </w:r>
          </w:p>
          <w:p w14:paraId="006E5C7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2、实时状态监测：实时接入并展示各安防设备的在线/离线状态。可点击图标调阅重点区域的实时视频监控画面 。</w:t>
            </w:r>
          </w:p>
          <w:p w14:paraId="344EB1B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3、异常事件告警：对门禁异常闯入、周界入侵、消防报警等事件，在三维地图上进行精准定位和高亮告警，并展示告警详情。</w:t>
            </w:r>
          </w:p>
          <w:p w14:paraId="7C46E1D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4、应急事件可视化支撑：发生安全事件时，平台可快速呈现告警点周边的视频监控、安防设备分布等信息，为现场处置提供可视化信息支持 。</w:t>
            </w:r>
          </w:p>
        </w:tc>
        <w:tc>
          <w:tcPr>
            <w:tcW w:w="462" w:type="dxa"/>
            <w:vAlign w:val="center"/>
          </w:tcPr>
          <w:p w14:paraId="0BC02C7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7FBEBDD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113EF04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2A99D81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171D9E6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691F92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6BD4B4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64C9E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0A2AEED">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1425" w:type="dxa"/>
            <w:vAlign w:val="top"/>
          </w:tcPr>
          <w:p w14:paraId="7805581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应用场景-科技校园</w:t>
            </w:r>
          </w:p>
        </w:tc>
        <w:tc>
          <w:tcPr>
            <w:tcW w:w="4325" w:type="dxa"/>
            <w:vAlign w:val="top"/>
          </w:tcPr>
          <w:p w14:paraId="0818DDB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网络与机房运维监测：</w:t>
            </w:r>
          </w:p>
          <w:p w14:paraId="1715E0E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1、智慧机房监测：支持对机房的U位空间、承重、功耗进行3D可视化展示；支持以云图分布形式展示机房温湿度分布情况 。</w:t>
            </w:r>
          </w:p>
          <w:p w14:paraId="7499F21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2、设备运行监控：在三维场景内展示空调、配电柜等动环设备数据，监测网络设备、服务器运行状态，设备告警可快速定位。</w:t>
            </w:r>
          </w:p>
          <w:p w14:paraId="1AF1DE5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3、网络拓扑监测：可视化展示校园网络逻辑拓扑及物理链路，实时监测核心链路流量态势及网络安全评分 。</w:t>
            </w:r>
          </w:p>
        </w:tc>
        <w:tc>
          <w:tcPr>
            <w:tcW w:w="462" w:type="dxa"/>
            <w:vAlign w:val="center"/>
          </w:tcPr>
          <w:p w14:paraId="32FEFDD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B56D18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1044526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7A849EA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19D05B5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639AE37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14313F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358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005037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1425" w:type="dxa"/>
            <w:vAlign w:val="top"/>
          </w:tcPr>
          <w:p w14:paraId="46C7250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应用场景-数字物联</w:t>
            </w:r>
          </w:p>
        </w:tc>
        <w:tc>
          <w:tcPr>
            <w:tcW w:w="4325" w:type="dxa"/>
            <w:vAlign w:val="top"/>
          </w:tcPr>
          <w:p w14:paraId="2D43629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数字物联校园监测：</w:t>
            </w:r>
          </w:p>
          <w:p w14:paraId="50ECF8C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物联设备监控：在三维视图中实时显示教室内物联设备（智能灯光、智能空调、智能窗帘、智能空开、智能电表、大屏、关联面板、智能插座、智能门禁等物联类型）的数量及状态，通过颜色或图标区分正常运行、故障或离线状态的设备。</w:t>
            </w:r>
          </w:p>
          <w:p w14:paraId="5BC1BB8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2.空间环境监控：在三维视图中集成教室空间的环境数据（如：温度、湿度、光照、PM2.5、二氧化碳等）的可视化呈现。</w:t>
            </w:r>
          </w:p>
          <w:p w14:paraId="4752F93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3.远程电脑桌面控制：管理员可在三维视图中选择特定教室进行电脑桌面查看或控制操作。</w:t>
            </w:r>
          </w:p>
          <w:p w14:paraId="57C8BDB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4.物联设备远程控制：管理员可在三维视图中中对教室内设备进行即时控制，如：开关灯光、调节空调温度、智能门禁开关等。</w:t>
            </w:r>
          </w:p>
          <w:p w14:paraId="6471F2F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5.视频监控联动：结合三维视图中的摄像头位置，实现可视化对讲和监听功能。当IP对讲接通时，自动联动弹窗显示相应教室的监控画面。</w:t>
            </w:r>
          </w:p>
          <w:p w14:paraId="18968A0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6.运行数据统计：提供电教设备和物联设备的数量、在线状态、使用时长、能耗的数据统计展示，便于管理员直观了运行情况。</w:t>
            </w:r>
          </w:p>
        </w:tc>
        <w:tc>
          <w:tcPr>
            <w:tcW w:w="462" w:type="dxa"/>
            <w:vAlign w:val="center"/>
          </w:tcPr>
          <w:p w14:paraId="1B45F18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58073E9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50E47E9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4C689C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7836C02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1CA82A8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3BA4E43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18D9B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3F5EF8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1425" w:type="dxa"/>
            <w:vAlign w:val="top"/>
          </w:tcPr>
          <w:p w14:paraId="1CA37BB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服务器</w:t>
            </w:r>
          </w:p>
        </w:tc>
        <w:tc>
          <w:tcPr>
            <w:tcW w:w="4325" w:type="dxa"/>
            <w:vAlign w:val="top"/>
          </w:tcPr>
          <w:p w14:paraId="1DFCF08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1、机架式服务器，高度≤2U，含上架导轨</w:t>
            </w:r>
          </w:p>
          <w:p w14:paraId="7FBA6CE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2、配置≥1颗处理器（核数≥16核、主频≥2.4GHz）；</w:t>
            </w:r>
          </w:p>
          <w:p w14:paraId="3D7EEC3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3、配置≥64GB DDR4内存，最高速率≥3200MT/s，≥32个内存插槽；</w:t>
            </w:r>
          </w:p>
          <w:p w14:paraId="7DAC812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4、配置≥2块1.2T SAS HDD，支持≥39个硬盘或≥28个NVMe SSD，支持SATA和PCIe M.2选件，支持双Micro SD卡套件；</w:t>
            </w:r>
          </w:p>
          <w:p w14:paraId="5326811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5、配置≥1个12Gbps SAS 阵列卡，支持RAID 0/1；支持选配≥8GB缓存SAS阵列卡；</w:t>
            </w:r>
          </w:p>
          <w:p w14:paraId="324C405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6、配置≥1个千兆管理接口，≥4个千兆接口；</w:t>
            </w:r>
          </w:p>
          <w:p w14:paraId="5E0617A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7、支持≥14个PCIe4.0插槽，支持≥14块单宽GPU或≥4块双宽GPU；</w:t>
            </w:r>
          </w:p>
          <w:p w14:paraId="354CE65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8、配置≥1个前置Type-C接口，≥2个内置USB3.0接口；</w:t>
            </w:r>
          </w:p>
          <w:p w14:paraId="34D9C16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9、支持服务器管理软件，支持手机App客户端，提供包括但不限于蓝屏快照、操作系统崩溃/重启/关机时自动录像和回放、基于动态口令的双因素认证和基于硬件的国密算法功能；</w:t>
            </w:r>
          </w:p>
          <w:p w14:paraId="686563D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default" w:ascii="宋体" w:hAnsi="宋体" w:eastAsia="宋体" w:cs="宋体"/>
                <w:sz w:val="28"/>
                <w:szCs w:val="28"/>
                <w:vertAlign w:val="baseline"/>
                <w:lang w:val="en-US" w:eastAsia="zh-CN"/>
              </w:rPr>
            </w:pPr>
            <w:r>
              <w:rPr>
                <w:rFonts w:hint="eastAsia" w:ascii="宋体" w:hAnsi="宋体" w:eastAsia="宋体" w:cs="宋体"/>
                <w:i w:val="0"/>
                <w:iCs w:val="0"/>
                <w:color w:val="000000"/>
                <w:kern w:val="0"/>
                <w:sz w:val="18"/>
                <w:szCs w:val="18"/>
                <w:u w:val="none"/>
                <w:lang w:val="en-US" w:eastAsia="zh-CN" w:bidi="ar"/>
              </w:rPr>
              <w:t>10、支持统一运维管理软件，可管理≥1000台服务器、≥30台交换机，提供包括但不限于设备自动发现或批量添加、状态监控与远程控制、BIOS配置导出、基于模板的RAID配置和操作系统批量部署、交换机和刀片机箱拓扑展示、性能监控（CPU、内存、硬盘使用率以及网络吞吐量）等功能；</w:t>
            </w:r>
          </w:p>
        </w:tc>
        <w:tc>
          <w:tcPr>
            <w:tcW w:w="462" w:type="dxa"/>
            <w:vAlign w:val="center"/>
          </w:tcPr>
          <w:p w14:paraId="1DAE6F9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690D00B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5314657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C30E90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50FA1E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12BD52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10831D9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6BC8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1E217F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10</w:t>
            </w:r>
          </w:p>
        </w:tc>
        <w:tc>
          <w:tcPr>
            <w:tcW w:w="1425" w:type="dxa"/>
            <w:vAlign w:val="top"/>
          </w:tcPr>
          <w:p w14:paraId="1451690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LED模组</w:t>
            </w:r>
          </w:p>
        </w:tc>
        <w:tc>
          <w:tcPr>
            <w:tcW w:w="4325" w:type="dxa"/>
            <w:vAlign w:val="top"/>
          </w:tcPr>
          <w:p w14:paraId="0B7E6A7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1、像素点间距≤1.25mm，单元板分辨率≥32768Dots；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2、SMD表贴三合一，铜线封装，五面黑灯，表面不反光；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3、显示颜色≥281.4trillion，色度均匀性：±0.001Cx、Cy内；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4、亮度0-700Cd/㎡可调，色温800-18000K可调，白平衡状态下色温在6500K±5%，色温为6500K时，100%75%50%25%档电平白场调节色温误差≤100K。</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5、水平视角≥170°，垂直视角≥170°，对比度高达8000:1，发光点中心偏距＜0.8%。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刷新率≥3840Hz，灰度：采用14bit技术，采用EPWM灰阶控制技术提升低灰视觉效果，100%亮度时，14bit灰度；70%亮度，14bit灰度；50%亮度，14bit灰度；20%亮度，12bit灰度，显示画面无单列或单行像素失控现象；支持0-100%亮度时，8-14bit灰度自定义设置；</w:t>
            </w:r>
          </w:p>
          <w:p w14:paraId="0D9521E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7、具有防静电、防电磁干扰、防腐蚀、防霉菌、防虫、防潮、抗震动、抗雷击等功能；具有电源过压、过流、断电保护、分布上电措施、防护等级达到IP60；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8、MTBF平均失效间隔时间≥100000h，MTTR平均修复时间≤2分钟；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9、支持任意非标准分辨率信号输入自适应，输出范围可进行缩放，实现最佳分辨率匹配，避免屏幕比例异常及黑边现象；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支持自动除湿功能，支持控制虚拟全彩LED显示屏；LED显示屏具备拼接误差检测系统，实时检测误差值，有效防止LED显示屏拼接不整齐，误差过大的问题；LED显示屏具备视频图像稳定性监测与控制系统，实时监测视频图像，保证图像质量；</w:t>
            </w:r>
          </w:p>
        </w:tc>
        <w:tc>
          <w:tcPr>
            <w:tcW w:w="462" w:type="dxa"/>
            <w:vAlign w:val="center"/>
          </w:tcPr>
          <w:p w14:paraId="287147E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F9E586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03EA53A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D9BAF5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3F2FB8E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32418E3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307EDB6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2C29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4B9B71ED">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11</w:t>
            </w:r>
          </w:p>
        </w:tc>
        <w:tc>
          <w:tcPr>
            <w:tcW w:w="1425" w:type="dxa"/>
            <w:vAlign w:val="top"/>
          </w:tcPr>
          <w:p w14:paraId="5A12E78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全彩专用电源</w:t>
            </w:r>
          </w:p>
        </w:tc>
        <w:tc>
          <w:tcPr>
            <w:tcW w:w="4325" w:type="dxa"/>
            <w:vAlign w:val="top"/>
          </w:tcPr>
          <w:p w14:paraId="309C662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输入电压范围：≥176VAC-264VAC；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2、额定输入电压：≥200VAC-240VAC；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3、输出电压：≥4.5VDC，输出电流：≥40A，输出1功率：≥200W；</w:t>
            </w:r>
          </w:p>
          <w:p w14:paraId="2839766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4、厚度：≤30mm，内置输入欠压、过载保护、过压保护、短路保护功能；</w:t>
            </w:r>
          </w:p>
        </w:tc>
        <w:tc>
          <w:tcPr>
            <w:tcW w:w="462" w:type="dxa"/>
            <w:vAlign w:val="center"/>
          </w:tcPr>
          <w:p w14:paraId="7BD96D1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D1CED9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653E6C7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F8711E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F06AEC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EA9BFB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6739A9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1EAFB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42C8E7EC">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12</w:t>
            </w:r>
          </w:p>
        </w:tc>
        <w:tc>
          <w:tcPr>
            <w:tcW w:w="1425" w:type="dxa"/>
            <w:vAlign w:val="top"/>
          </w:tcPr>
          <w:p w14:paraId="33CC0A3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控制平台软件</w:t>
            </w:r>
          </w:p>
        </w:tc>
        <w:tc>
          <w:tcPr>
            <w:tcW w:w="4325" w:type="dxa"/>
            <w:vAlign w:val="top"/>
          </w:tcPr>
          <w:p w14:paraId="31EB30D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1、控制系统软件支持实时监测发送卡网口带载面积，支持网口显示，并有预警显示；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2、控制系统软件可设置只读模式，支持不同权限设置，防止误操作；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3、控制系统软件可设置多功能卡参数，可定时开关大屏电源，设置外接传感器的各种参数；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4、通过控制系统软件快速调试主控，支持处理器软件快速调试，预存模式，EDID更改；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5、软件支持播放编辑节目，支持视频、音频、图像、文字、Flash、Gif等形式文件播放；支持Microsoft Office的Word、Excel、PPT显示；支持时钟、计时、网页、表格、数据库、天气预报显示；支持外部视频、环境信息、体育比分、桌面拷贝播放；支持多页面多分区节目编辑；支持三维特效动画、分区特效等功能；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6、需具有环境自检功能。</w:t>
            </w:r>
          </w:p>
        </w:tc>
        <w:tc>
          <w:tcPr>
            <w:tcW w:w="462" w:type="dxa"/>
            <w:vAlign w:val="center"/>
          </w:tcPr>
          <w:p w14:paraId="0583237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2F65C4C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0A211BE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B60E65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4167BCD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60254D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6936B9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11EC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3889AA5A">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13</w:t>
            </w:r>
          </w:p>
        </w:tc>
        <w:tc>
          <w:tcPr>
            <w:tcW w:w="1425" w:type="dxa"/>
            <w:vAlign w:val="top"/>
          </w:tcPr>
          <w:p w14:paraId="665192F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视频处理器</w:t>
            </w:r>
          </w:p>
        </w:tc>
        <w:tc>
          <w:tcPr>
            <w:tcW w:w="4325" w:type="dxa"/>
            <w:vAlign w:val="top"/>
          </w:tcPr>
          <w:p w14:paraId="22A7261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1、配置≥40路千兆网口或≥4路10G光纤；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2、单机最大带载≥2621万像素点，最宽16384或最高8192像素；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3、支持最大输入分辨率4096×2160@60Hz；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4、支持8/10/12bit色深视频源输入，23.976~240Hz输入帧率适应技术；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5、支持≥6画面显示，视频信号任意裁剪、缩放和无缝切换；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6、支持≥1000个场景的保存和调用，场景自动定时轮巡，可以使用U盘播放图片、视频；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7、支持亮度调节、色温调节，网口分组亮度调节；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8、标准≥19英寸金属结构机箱，挂耳式结构，纯硬件FPGA 架构、运行稳定、可靠、高效。在设备1m距离处设备正常运行的噪音可控制在35dB以内，运行安静。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9、支持音频传输，通过DP/HDMI音频解析和3.5mm独立音频输入输出；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10、支持视频同步锁相技术，支持锁定内部Vsync、输入源、自动锁相；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11、支持单机网口冗余备份和双机冗余备份；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设备具备输入接口检验包括≥1路HDMI2.0；≥1路DP1.2；≥2路HDMI1.4；≥2路DVI；网口带载能力检验包括40路千兆网口输出；同步功能检验、音频功能检验、画面处理检验；输出接口画面调节功能经检验支持调节亮度补偿、色调、饱和度、对比度；液晶面板显示功能。</w:t>
            </w:r>
          </w:p>
          <w:p w14:paraId="3394ED2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13、支持HDCP协议的高带宽数字内容保护技术；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14、支持Web端控制，兼容Windows、macOS、Linux等操作系统；</w:t>
            </w:r>
          </w:p>
        </w:tc>
        <w:tc>
          <w:tcPr>
            <w:tcW w:w="462" w:type="dxa"/>
            <w:vAlign w:val="center"/>
          </w:tcPr>
          <w:p w14:paraId="3685168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7BF65FC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68F5697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73CE1A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14BE9AF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DF0F71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2CCB845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2290B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B5E21D6">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14</w:t>
            </w:r>
          </w:p>
        </w:tc>
        <w:tc>
          <w:tcPr>
            <w:tcW w:w="1425" w:type="dxa"/>
            <w:vAlign w:val="top"/>
          </w:tcPr>
          <w:p w14:paraId="19D07CC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接收卡</w:t>
            </w:r>
          </w:p>
        </w:tc>
        <w:tc>
          <w:tcPr>
            <w:tcW w:w="4325" w:type="dxa"/>
            <w:vAlign w:val="top"/>
          </w:tcPr>
          <w:p w14:paraId="68AD5DD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1、≥8路HUB320接口；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2、支持≥32组并行RGB全彩数据或≥32组串行RGB数据；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3、支持市面主流芯片，可任意抽点、任意抽行抽列；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4、支持≥8bit色深视频源输入；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5、支持低亮高灰，色温调节；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6、支持自适应帧率技术，可输出≥240Hz画面；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7、支持箱体快速标定标序，数据组画面偏移，适用于简单异形屏；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8、支持环路备份；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9、支持DC 3.8V~5.5V超宽工作电压。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10、为保证产品能够持久运行，接收卡需具有电击和能量危险的防护；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11、为保证产品具备防火防护条件，接收卡表面阻燃达V-0级；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12、为保证产品对人体免电击防护，接收卡需支持SELV电路；</w:t>
            </w:r>
          </w:p>
        </w:tc>
        <w:tc>
          <w:tcPr>
            <w:tcW w:w="462" w:type="dxa"/>
            <w:vAlign w:val="center"/>
          </w:tcPr>
          <w:p w14:paraId="406474D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6D0896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6A8D189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012CA13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4BEF280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38CA362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1EDCFA0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AA12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71EDB122">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15</w:t>
            </w:r>
          </w:p>
        </w:tc>
        <w:tc>
          <w:tcPr>
            <w:tcW w:w="1425" w:type="dxa"/>
            <w:vAlign w:val="top"/>
          </w:tcPr>
          <w:p w14:paraId="063D3B9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多功能卡</w:t>
            </w:r>
          </w:p>
        </w:tc>
        <w:tc>
          <w:tcPr>
            <w:tcW w:w="4325" w:type="dxa"/>
            <w:vAlign w:val="top"/>
          </w:tcPr>
          <w:p w14:paraId="0AD2D46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1、支持RS232串口通信。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2、支持千兆网口通信。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3、支持≥7路电源开关控制。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4、支持多次自动开关继电器。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5、支持加装光探头，实现自动调节亮度。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6、支持加装温度，湿度检测装置。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7、支持音频输出。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8、具有定时功能。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9、支持通过检测前端信号有无，开关LED屏幕电源。</w:t>
            </w:r>
          </w:p>
        </w:tc>
        <w:tc>
          <w:tcPr>
            <w:tcW w:w="462" w:type="dxa"/>
            <w:vAlign w:val="center"/>
          </w:tcPr>
          <w:p w14:paraId="4B318D3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D1F79D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6369B2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10553B9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5A50A0E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3B9BBC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073220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8434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2DE8845">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16</w:t>
            </w:r>
          </w:p>
        </w:tc>
        <w:tc>
          <w:tcPr>
            <w:tcW w:w="1425" w:type="dxa"/>
            <w:vAlign w:val="top"/>
          </w:tcPr>
          <w:p w14:paraId="109ACCD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配电柜</w:t>
            </w:r>
          </w:p>
        </w:tc>
        <w:tc>
          <w:tcPr>
            <w:tcW w:w="4325" w:type="dxa"/>
            <w:vAlign w:val="top"/>
          </w:tcPr>
          <w:p w14:paraId="3B069E0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1、LED显示屏专用配电柜，≥40KW，具备上电保护功能，具有电源状态指示、运行状态指示，支持远程开关，智能一键上电断电功能。</w:t>
            </w:r>
          </w:p>
        </w:tc>
        <w:tc>
          <w:tcPr>
            <w:tcW w:w="462" w:type="dxa"/>
            <w:vAlign w:val="center"/>
          </w:tcPr>
          <w:p w14:paraId="1A65EF6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4DD1912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45AE063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6FF47C9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05B523E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869789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3699C07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09E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E71BEFD">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17</w:t>
            </w:r>
          </w:p>
        </w:tc>
        <w:tc>
          <w:tcPr>
            <w:tcW w:w="1425" w:type="dxa"/>
            <w:vAlign w:val="top"/>
          </w:tcPr>
          <w:p w14:paraId="42761FA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屏体结构</w:t>
            </w:r>
          </w:p>
        </w:tc>
        <w:tc>
          <w:tcPr>
            <w:tcW w:w="4325" w:type="dxa"/>
            <w:vAlign w:val="top"/>
          </w:tcPr>
          <w:p w14:paraId="0AF47E9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1、钢结构：钢架构件（含接合板）采用Q235B钢制作；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2、要求：抗震7级；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3、显示屏正面包边≧5，厚度采用不小于1.0MM的201不锈钢材质。</w:t>
            </w:r>
          </w:p>
        </w:tc>
        <w:tc>
          <w:tcPr>
            <w:tcW w:w="462" w:type="dxa"/>
            <w:vAlign w:val="center"/>
          </w:tcPr>
          <w:p w14:paraId="2E0002F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5874374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2DA75A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11CF35F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213F641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836255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38EFF9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209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59DCC7A6">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18</w:t>
            </w:r>
          </w:p>
        </w:tc>
        <w:tc>
          <w:tcPr>
            <w:tcW w:w="1425" w:type="dxa"/>
            <w:vAlign w:val="top"/>
          </w:tcPr>
          <w:p w14:paraId="0B58103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二分频专业音箱</w:t>
            </w:r>
          </w:p>
        </w:tc>
        <w:tc>
          <w:tcPr>
            <w:tcW w:w="4325" w:type="dxa"/>
            <w:vAlign w:val="top"/>
          </w:tcPr>
          <w:p w14:paraId="18627C8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1.频率响应：62Hz-20KHz；</w:t>
            </w:r>
          </w:p>
          <w:p w14:paraId="24B95B2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2.低音单元：≥1×10"；</w:t>
            </w:r>
          </w:p>
          <w:p w14:paraId="556FBE7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3.高音单元：≥1×1.75"；</w:t>
            </w:r>
          </w:p>
          <w:p w14:paraId="5D368FD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4.系统：2way speaker；</w:t>
            </w:r>
          </w:p>
          <w:p w14:paraId="40B7B84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5.承受功率：≥300W；</w:t>
            </w:r>
          </w:p>
          <w:p w14:paraId="0E851A6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6.灵 敏 度：≥96dB1w/1m；</w:t>
            </w:r>
          </w:p>
          <w:p w14:paraId="07FDD88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7.最大声压：≥121dB；</w:t>
            </w:r>
          </w:p>
          <w:p w14:paraId="593CB60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8.阻抗：8Ω；</w:t>
            </w:r>
          </w:p>
          <w:p w14:paraId="2D760AD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9.指向角度≥80°×50°。</w:t>
            </w:r>
          </w:p>
        </w:tc>
        <w:tc>
          <w:tcPr>
            <w:tcW w:w="462" w:type="dxa"/>
            <w:vAlign w:val="center"/>
          </w:tcPr>
          <w:p w14:paraId="24755EA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713C76C">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03F00D3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6A5AE5C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3037029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B2E103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9977C6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5DFE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32D571E">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19</w:t>
            </w:r>
          </w:p>
        </w:tc>
        <w:tc>
          <w:tcPr>
            <w:tcW w:w="1425" w:type="dxa"/>
            <w:vAlign w:val="top"/>
          </w:tcPr>
          <w:p w14:paraId="4AC85FC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音频功率放大器</w:t>
            </w:r>
          </w:p>
        </w:tc>
        <w:tc>
          <w:tcPr>
            <w:tcW w:w="4325" w:type="dxa"/>
            <w:vAlign w:val="top"/>
          </w:tcPr>
          <w:p w14:paraId="3D99E88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sz w:val="28"/>
                <w:szCs w:val="28"/>
                <w:vertAlign w:val="baseline"/>
                <w:lang w:eastAsia="zh-CN"/>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采用H类高效率放大器，拥有高效率功率转换把音频的模拟信号转换为数字信号再放大；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2.散热器电气悬空，功率管与散热器直接接触，抛开传统绝缘垫的传热阻隔，功率管热量得以迅速释放；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3.独特的高效率散热器与散热结构布局，使功率管各点温度均衡，高效稳定；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4.线路具有直流保护、短路保护、过载保护、开机关机保护、温度保护，可在任意阻抗下长期稳定工作；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5.具有不少于三档可调的输入灵敏度设置：标准0.775V（专业级）、1.0V（通用级）或1.4V（高电平）；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6.具有立体声模式、单声道或桥接模式可选择；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7.具有主动监测功能：功率放大器集成了故障检测模块，能够实时监控功率放大器的运行状态，确保其持续稳定工作；</w:t>
            </w:r>
          </w:p>
        </w:tc>
        <w:tc>
          <w:tcPr>
            <w:tcW w:w="462" w:type="dxa"/>
            <w:vAlign w:val="center"/>
          </w:tcPr>
          <w:p w14:paraId="21A906B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526AA3D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48058F8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0C84EDF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27B4C25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1FED078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5780A87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171BA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3D9EC2DA">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20</w:t>
            </w:r>
          </w:p>
        </w:tc>
        <w:tc>
          <w:tcPr>
            <w:tcW w:w="1425" w:type="dxa"/>
            <w:vAlign w:val="top"/>
          </w:tcPr>
          <w:p w14:paraId="7DA7C0E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无线会议麦克风</w:t>
            </w:r>
          </w:p>
        </w:tc>
        <w:tc>
          <w:tcPr>
            <w:tcW w:w="4325" w:type="dxa"/>
            <w:vAlign w:val="top"/>
          </w:tcPr>
          <w:p w14:paraId="6542B08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1.采用独有的ID码导频技术，ID随机码≥16位，彻底解决同频、串频现象；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2.接收机采用全金属机身，标准1U高度，配置挂耳可安装于标准机柜，空旷距离有效无线传输距离≥150m；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3.接收机采用≥四通道UHF无线通信，610-690MHz频率范围，每个通道≥150个频点可选，可切换频点总数≥600个；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4.发射器采用LCD显示屏，可实时反馈系统工作状态，可实时反馈系统工作状态，可显示电池电量、信号强度、工作频率；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5.接收机音频信号输出口总数≥6个，包含≥1*6.3mm混合输出，≥1*XLR混合平衡输出，≥4*XLR通道平衡输出；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6.标配：主机*≥1个+桌面鹅颈麦克风*≥4个；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桌面无线话筒：</w:t>
            </w:r>
            <w:bookmarkStart w:id="0" w:name="_GoBack"/>
            <w:bookmarkEnd w:id="0"/>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7.频率切换：红外同步；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8.发射功率≥20mW；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9.高次谐波：低于主波基准40dB以上；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10.连续使用时间＞10小时；</w:t>
            </w:r>
          </w:p>
        </w:tc>
        <w:tc>
          <w:tcPr>
            <w:tcW w:w="462" w:type="dxa"/>
            <w:vAlign w:val="center"/>
          </w:tcPr>
          <w:p w14:paraId="7207683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24B9D9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4BCDAD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CACC80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3F7F76C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235E7F9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52DD4C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0CDB9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60DCB448">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21</w:t>
            </w:r>
          </w:p>
        </w:tc>
        <w:tc>
          <w:tcPr>
            <w:tcW w:w="1425" w:type="dxa"/>
            <w:vAlign w:val="top"/>
          </w:tcPr>
          <w:p w14:paraId="69431DF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无线话筒天线分配器</w:t>
            </w:r>
          </w:p>
        </w:tc>
        <w:tc>
          <w:tcPr>
            <w:tcW w:w="4325" w:type="dxa"/>
            <w:vAlign w:val="top"/>
          </w:tcPr>
          <w:p w14:paraId="163148A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 xml:space="preserve">1.天线分配器：适用于450-1000MHz的频率范围；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2.指向性天线：具有4-6dBi的高指向特性；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3.专供接收机作长距离接收使用，可以补偿连接到接收机的同轴电缆线所造成的信号损失；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4.天线分配系统由≥</w:t>
            </w: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台天线分配器和2个定向天线组成，可供多台接收机使用；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5.波束宽度：垂直方向≥75°，水平方向≥130°；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6.TNC插座连接头，输入/输出阻抗≥50Ω。</w:t>
            </w:r>
          </w:p>
        </w:tc>
        <w:tc>
          <w:tcPr>
            <w:tcW w:w="462" w:type="dxa"/>
            <w:vAlign w:val="center"/>
          </w:tcPr>
          <w:p w14:paraId="1B51456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3705F4C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96F71D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2F4EBDF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43A8993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E747CA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5EBA188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D64F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BF2C416">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22</w:t>
            </w:r>
          </w:p>
        </w:tc>
        <w:tc>
          <w:tcPr>
            <w:tcW w:w="1425" w:type="dxa"/>
            <w:vAlign w:val="top"/>
          </w:tcPr>
          <w:p w14:paraId="2375182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调音台</w:t>
            </w:r>
          </w:p>
        </w:tc>
        <w:tc>
          <w:tcPr>
            <w:tcW w:w="4325" w:type="dxa"/>
            <w:vAlign w:val="top"/>
          </w:tcPr>
          <w:p w14:paraId="085BC3A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1.提供≥12路输入，包含8路XLR&amp;TRS混合单声道输入和2路支持TRS与XLR切换的立体声输入；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2.内置48V幻象电源，支持≥10路XLR独立48V电源控制；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3.每通道≥3段均衡调节、单独的NOISE-Gate噪声门开关、MUTE静音开关、PFL电平开关、≥60MM行程推子器；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4.提供≥2组编组输出和≥2组AUX辅助输出（包括FX效果输出）；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5.具有≥1组外接信号返回、≥1路TRS PHONE插口、≥1组2-TR插口、可输入≥2轨磁带数字信息、≥1组专业的监听输出、≥1组REC录音输出；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6.内置≥99种精选DSP数字效果器，涵盖混响、延迟、回声等多种效果；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7.支持USB音频播放WAV,WMA,APE,FLAC,MP3文件，同时提供USB录音功能，也可连电脑播放音乐；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8.内置蓝牙5.0接收模块，支持高保真无线音频传输，显示屏清淅显示播放状态；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9.具有≥2*10段三色电平灯，直观显示信号状态，每通道具有≥1*10段LED电平信号指示表。</w:t>
            </w:r>
          </w:p>
        </w:tc>
        <w:tc>
          <w:tcPr>
            <w:tcW w:w="462" w:type="dxa"/>
            <w:vAlign w:val="center"/>
          </w:tcPr>
          <w:p w14:paraId="6A1D5C0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21B9817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7F6CC4A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3EA481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11BCB26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41BFFE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3F84DCD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B264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86ADDA3">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23</w:t>
            </w:r>
          </w:p>
        </w:tc>
        <w:tc>
          <w:tcPr>
            <w:tcW w:w="1425" w:type="dxa"/>
            <w:vAlign w:val="top"/>
          </w:tcPr>
          <w:p w14:paraId="0C61134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数字会议音频处理器</w:t>
            </w:r>
          </w:p>
        </w:tc>
        <w:tc>
          <w:tcPr>
            <w:tcW w:w="4325" w:type="dxa"/>
            <w:vAlign w:val="top"/>
          </w:tcPr>
          <w:p w14:paraId="29F6905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1.采样率不劣于96k/24bit；</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2.内置压缩器、限幅器、分频器、延时器、均衡器、混音矩阵等DSP功能；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3.前面板具有LCD显示器，显示当前设备的IP地址；</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4.≥3路MIC输入，≥6路平衡音频输出通道，输入具有噪声门功能，输出提供压缩器、压缩限幅器功能；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5.输入输出通道具有≥7段均衡调节、高低通滤波器，支持通道延时调节功能，支持全通滤波器AIIpass；</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6.内置信号发生器，具有正弦波信号、粉红噪声、白噪声等功能丰富，更适合项目现场调试；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7.支持通过软件调节，控制软件支持一键静音，操作界面支持中英文切换，并且可实现多台处理器集中控制；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8.支持通道参数复制、通道参数联动调节；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9.支持≥24个场景存档，包含自动档，默认档等，满足不同场景的灵活调用；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10.支持USB免驱自动连接软件，支持RS232中控控制；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11.支持拓展Dante网络数字音频输入输出。</w:t>
            </w:r>
          </w:p>
        </w:tc>
        <w:tc>
          <w:tcPr>
            <w:tcW w:w="462" w:type="dxa"/>
            <w:vAlign w:val="center"/>
          </w:tcPr>
          <w:p w14:paraId="4B198F6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80F459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11D99E1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63C4448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E924EE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3773BE7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2BCC6D3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06F49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7367F73">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24</w:t>
            </w:r>
          </w:p>
        </w:tc>
        <w:tc>
          <w:tcPr>
            <w:tcW w:w="1425" w:type="dxa"/>
            <w:vAlign w:val="top"/>
          </w:tcPr>
          <w:p w14:paraId="3BF210F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反馈抑制器</w:t>
            </w:r>
          </w:p>
        </w:tc>
        <w:tc>
          <w:tcPr>
            <w:tcW w:w="4325" w:type="dxa"/>
            <w:vAlign w:val="top"/>
          </w:tcPr>
          <w:p w14:paraId="5F5D87A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采用全中界面，自动数字反馈抑制器，自动扫描啸叫点并快速抑制；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2.全采用自动扫描啸叫点的模式，内置陷波器、静态滤波器、移频器、噪声门、压缩器等；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3.双通道设置，采用两组平衡/非平衡输入，两组平衡/非平衡输出接口；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4.双通道所有参数均可独立调节也可以进行联通调节；支持一键默音功能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5.内置-64db到6dB增益调节，噪声门为0dB-90dB范围可调，移频器支持0Hz-8Hz多级调节；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6.啸叫抑制响应采用三种模式检测和抑制，快、默认、慢三个速度可设定，满足不同的需求；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7.设备参数调节设置两级面板锁，可以进行参数锁定和整机锁定功能；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8.支持20种模式保存与调用，在使用不同的场所直接调用；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9.实现PC软件控制，界面简单易懂，保存模式后可脱离PC运行；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10.内置陷波器、静态滤波器、移频器、噪声门、压缩器，具有≥12段EQ调节，支持一键实现PEQ直通；</w:t>
            </w:r>
          </w:p>
          <w:p w14:paraId="4AA124F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11.压缩器支持-40~18启动阀值、5~100ms启动时间、释放时间和压缩比例的设置；</w:t>
            </w:r>
          </w:p>
        </w:tc>
        <w:tc>
          <w:tcPr>
            <w:tcW w:w="462" w:type="dxa"/>
            <w:vAlign w:val="center"/>
          </w:tcPr>
          <w:p w14:paraId="652EB58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4F12392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452108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5841118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4707F3E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8B7CE0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2CA4E45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D7D9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789A934">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25</w:t>
            </w:r>
          </w:p>
        </w:tc>
        <w:tc>
          <w:tcPr>
            <w:tcW w:w="1425" w:type="dxa"/>
            <w:shd w:val="clear" w:color="auto" w:fill="auto"/>
            <w:vAlign w:val="top"/>
          </w:tcPr>
          <w:p w14:paraId="6E99AB5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电源时序器</w:t>
            </w:r>
          </w:p>
        </w:tc>
        <w:tc>
          <w:tcPr>
            <w:tcW w:w="4325" w:type="dxa"/>
            <w:shd w:val="clear" w:color="auto" w:fill="auto"/>
            <w:vAlign w:val="top"/>
          </w:tcPr>
          <w:p w14:paraId="2AAC62C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1.具备≥13路电源输出，包含前面板具备不少于五路常开直通电源输出接口（两路5孔插座+两路USB+1路Type-C）和后面板≥8路独立大功率受控电源输出（5孔插座）；</w:t>
            </w:r>
          </w:p>
          <w:p w14:paraId="10EB780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2.前面板配备指针电压表，实时显示当前电压状态，可更加直观查看设备所处地点的工作电压；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3.具有欠压、超压检测报警功能，可对欠压、超压状态进行蜂鸣声警报；</w:t>
            </w:r>
          </w:p>
          <w:p w14:paraId="4E841BA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4.独立电源具有独立电源指示和独立电源开关控制，支持顺开逆关功能，每路动作延时1秒；</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5.具有RS232接口，支持中控指令配置设备 ID，实现顺开逆关、受控单通道独立开关、模式调用、模式保存、波特率设置、设置级联、初始化等操作功能；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6.支持短路信号和RS-485协议进行级联控制，RS-485协议级联后从机可自动检测主控机的业务操作指令，执行相同的业务操作指令，RS-485协议方式最大级联设备≥8台；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7.支持≥8组设备开关场景数据保存与调用；最大功率≥6600W，单路最大电流≥10A；额定输出电压：交流100V240V50Hz；内置电源滤波器;</w:t>
            </w:r>
          </w:p>
        </w:tc>
        <w:tc>
          <w:tcPr>
            <w:tcW w:w="462" w:type="dxa"/>
            <w:vAlign w:val="center"/>
          </w:tcPr>
          <w:p w14:paraId="1F6A6FD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66474A6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81A70C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18989F1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75E0383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193AA39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E46FD6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0327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550016D4">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26</w:t>
            </w:r>
          </w:p>
        </w:tc>
        <w:tc>
          <w:tcPr>
            <w:tcW w:w="1425" w:type="dxa"/>
            <w:vAlign w:val="top"/>
          </w:tcPr>
          <w:p w14:paraId="62B1F0F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专业会议机柜</w:t>
            </w:r>
          </w:p>
        </w:tc>
        <w:tc>
          <w:tcPr>
            <w:tcW w:w="4325" w:type="dxa"/>
            <w:vAlign w:val="top"/>
          </w:tcPr>
          <w:p w14:paraId="179A53E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1.结构：≥2mm冷轧板柜体；尺寸（W×D×H）:≥600×600×1600mm；</w:t>
            </w:r>
          </w:p>
        </w:tc>
        <w:tc>
          <w:tcPr>
            <w:tcW w:w="462" w:type="dxa"/>
            <w:vAlign w:val="center"/>
          </w:tcPr>
          <w:p w14:paraId="40ED7DD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431A20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00B3587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290223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34083C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789D839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326CE01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53B6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9F010BB">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27</w:t>
            </w:r>
          </w:p>
        </w:tc>
        <w:tc>
          <w:tcPr>
            <w:tcW w:w="1425" w:type="dxa"/>
            <w:vAlign w:val="top"/>
          </w:tcPr>
          <w:p w14:paraId="487D3DC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辅材</w:t>
            </w:r>
          </w:p>
        </w:tc>
        <w:tc>
          <w:tcPr>
            <w:tcW w:w="4325" w:type="dxa"/>
            <w:vAlign w:val="top"/>
          </w:tcPr>
          <w:p w14:paraId="2FF034C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1、满足安装使用的辅材，包括：音频线、卡侬线、音响接头等</w:t>
            </w:r>
            <w:r>
              <w:rPr>
                <w:rFonts w:hint="eastAsia" w:ascii="宋体" w:hAnsi="宋体" w:eastAsia="宋体" w:cs="宋体"/>
                <w:i w:val="0"/>
                <w:iCs w:val="0"/>
                <w:color w:val="000000"/>
                <w:kern w:val="0"/>
                <w:sz w:val="18"/>
                <w:szCs w:val="18"/>
                <w:u w:val="none"/>
                <w:lang w:val="en-US" w:eastAsia="zh-CN" w:bidi="ar"/>
              </w:rPr>
              <w:t>。</w:t>
            </w:r>
          </w:p>
        </w:tc>
        <w:tc>
          <w:tcPr>
            <w:tcW w:w="462" w:type="dxa"/>
            <w:vAlign w:val="center"/>
          </w:tcPr>
          <w:p w14:paraId="569A15F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C0401C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1BA7D5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1E1F8CE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77BE9C7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8CECF4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A787CE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88A3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EBB2D7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28</w:t>
            </w:r>
          </w:p>
        </w:tc>
        <w:tc>
          <w:tcPr>
            <w:tcW w:w="1425" w:type="dxa"/>
            <w:vAlign w:val="top"/>
          </w:tcPr>
          <w:p w14:paraId="14DC633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工作站</w:t>
            </w:r>
          </w:p>
        </w:tc>
        <w:tc>
          <w:tcPr>
            <w:tcW w:w="4325" w:type="dxa"/>
            <w:vAlign w:val="top"/>
          </w:tcPr>
          <w:p w14:paraId="393EE96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1、CPU规格：≥14核20线程处理器，CPU基础主频≥2.5Ghz，CPU最大睿频频率≥5.0Ghz，三级缓存≥24MB；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2、内存：≥64GB内存，通道≥4个DIMM插槽，可升级到≥128GB内存容量；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3、存储设备规格：≥1T M.2 2280 PCIe NVME SSD，≥2T SATA 7200 RPM HDD，最大支持3个M.2 SSD硬盘槽位和3个3.5</w:t>
            </w:r>
            <w:r>
              <w:rPr>
                <w:rFonts w:hint="eastAsia" w:ascii="宋体" w:hAnsi="宋体" w:cs="宋体"/>
                <w:i w:val="0"/>
                <w:iCs w:val="0"/>
                <w:color w:val="000000"/>
                <w:kern w:val="0"/>
                <w:sz w:val="18"/>
                <w:szCs w:val="18"/>
                <w:u w:val="none"/>
                <w:lang w:val="en-US" w:eastAsia="zh-CN" w:bidi="ar"/>
              </w:rPr>
              <w:t>英</w:t>
            </w:r>
            <w:r>
              <w:rPr>
                <w:rFonts w:hint="eastAsia" w:ascii="宋体" w:hAnsi="宋体" w:eastAsia="宋体" w:cs="宋体"/>
                <w:i w:val="0"/>
                <w:iCs w:val="0"/>
                <w:color w:val="000000"/>
                <w:kern w:val="0"/>
                <w:sz w:val="18"/>
                <w:szCs w:val="18"/>
                <w:u w:val="none"/>
                <w:lang w:val="en-US" w:eastAsia="zh-CN" w:bidi="ar"/>
              </w:rPr>
              <w:t>寸SATA硬盘槽位；固态盘应符合 SJ/T 11654 相关规定；机械硬盘准备时间≤30s；侧面固定螺丝孔数量可为4孔或6孔；工作状态环境温度应满足5℃~55℃；其它参数应符合 GB/T 12628 的相关规定；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4、显卡：独立显卡，显存≥32G，显存位宽≥256bit，CUDA核心数≥2048个，核心频率≥1200MHz，显存频率≥7000MHz，最大分辨率≥7680×4320；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5、外设规格：原厂USB有线键盘鼠标；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6、网络设备：主板集成1个1000M自适应以太网卡；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7、机箱：机箱体积应≤40L，支持免工具即可访问系统主板和内存，应符合GB/T 4208、GB/T 26246的相关规定；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8、电源：≥550W 92%高效节能电源；</w:t>
            </w:r>
          </w:p>
        </w:tc>
        <w:tc>
          <w:tcPr>
            <w:tcW w:w="462" w:type="dxa"/>
            <w:vAlign w:val="center"/>
          </w:tcPr>
          <w:p w14:paraId="310856C5">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4100BD0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706F26A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5C6CBBF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21A0FB59">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A907F5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75A50C7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7242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5D7CCBF1">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29</w:t>
            </w:r>
          </w:p>
        </w:tc>
        <w:tc>
          <w:tcPr>
            <w:tcW w:w="1425" w:type="dxa"/>
            <w:vAlign w:val="top"/>
          </w:tcPr>
          <w:p w14:paraId="6840627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互动电视</w:t>
            </w:r>
          </w:p>
        </w:tc>
        <w:tc>
          <w:tcPr>
            <w:tcW w:w="4325" w:type="dxa"/>
            <w:vAlign w:val="top"/>
          </w:tcPr>
          <w:p w14:paraId="6B4CC10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屏幕：≥55英寸，黑色，超薄型、全面屏；金属一体化背板；操作系统：≥64位Android 12，分辨率：≥3840*2160，对比度≥1500:1，刷新频率：≥120Hz；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2.CPU ARM  ≥32位Cortex-A55*4 ；GPU ≥G52*2 ； RAM/ROM ≥2GB / 32GB ，协处理器 ≥NEON*2 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3.图像处理技术 HDR10、原色真彩 、MEMC、光学护眼（降低有害蓝紫光）；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4.开机画面、视频DIY 支持开机画面和视频的更换，极速开机≤3秒，无开机商业广告视频或图片；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5.支持：信息发布系统功能，通过系统管理平台可以登录到服务器，完成新用户的分配和相应权限的划分，实现对播放终端的远程、分布式实时管理，实现多媒体信息、控制信息、节目播出单的发布；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6.支持蓝牙遥控模块（蓝牙遥控器非标配）语音控制及输入，多屏互动功能，包含媒体推送（手机向电视上推送，包含 DLNA、 AirPlay）、屏幕镜像（手机内容镜像到电视，即 Miracast）、支持星闪功能；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7.半音最大输出功率 ≥2×10W，音频系统 多音效模式、清亮高音、5 段均衡；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8.RF输入×1，AV输入≥×1，USB输入≥×2，  HDMI输入≥×2, AV-in输入≥×1，同轴输出≥×1</w:t>
            </w:r>
            <w:r>
              <w:rPr>
                <w:rFonts w:hint="eastAsia" w:ascii="宋体" w:hAnsi="宋体" w:cs="宋体"/>
                <w:i w:val="0"/>
                <w:iCs w:val="0"/>
                <w:color w:val="000000"/>
                <w:kern w:val="0"/>
                <w:sz w:val="18"/>
                <w:szCs w:val="18"/>
                <w:u w:val="none"/>
                <w:lang w:val="en-US" w:eastAsia="zh-CN" w:bidi="ar"/>
              </w:rPr>
              <w:t>；</w:t>
            </w:r>
          </w:p>
          <w:p w14:paraId="434856F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9，内置WIFI；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10.待机功率：≤0.3W，额定功耗：≤90W；</w:t>
            </w:r>
          </w:p>
        </w:tc>
        <w:tc>
          <w:tcPr>
            <w:tcW w:w="462" w:type="dxa"/>
            <w:vAlign w:val="center"/>
          </w:tcPr>
          <w:p w14:paraId="6BD9502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6CE60E8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A474E2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6B38A74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D26056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0ADD398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20E02D3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1BB48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08C2658B">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30</w:t>
            </w:r>
          </w:p>
        </w:tc>
        <w:tc>
          <w:tcPr>
            <w:tcW w:w="1425" w:type="dxa"/>
            <w:vAlign w:val="top"/>
          </w:tcPr>
          <w:p w14:paraId="212CC36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空调</w:t>
            </w:r>
          </w:p>
        </w:tc>
        <w:tc>
          <w:tcPr>
            <w:tcW w:w="4325" w:type="dxa"/>
            <w:vAlign w:val="top"/>
          </w:tcPr>
          <w:p w14:paraId="5F1E69E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1.功率:≥4匹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2.工作方式: 变频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3.制热功率: ≤4200W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4.制冷功率: ≤3800W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5.电辅加热功率:≥2100W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6.能效等级：≥二级能效</w:t>
            </w:r>
          </w:p>
        </w:tc>
        <w:tc>
          <w:tcPr>
            <w:tcW w:w="462" w:type="dxa"/>
            <w:vAlign w:val="center"/>
          </w:tcPr>
          <w:p w14:paraId="63BA1B8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7991D9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58A5088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B44705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5D2CD3C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56D0B2E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F3E060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62838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4E955AB3">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31</w:t>
            </w:r>
          </w:p>
        </w:tc>
        <w:tc>
          <w:tcPr>
            <w:tcW w:w="1425" w:type="dxa"/>
            <w:vAlign w:val="top"/>
          </w:tcPr>
          <w:p w14:paraId="64769CA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顶面处理</w:t>
            </w:r>
          </w:p>
        </w:tc>
        <w:tc>
          <w:tcPr>
            <w:tcW w:w="4325" w:type="dxa"/>
            <w:vAlign w:val="top"/>
          </w:tcPr>
          <w:p w14:paraId="10A2AD9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1.规格≥80mm*80mm铝方通; </w:t>
            </w:r>
          </w:p>
          <w:p w14:paraId="48DAA9D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2.间隔100安装平顶。</w:t>
            </w:r>
          </w:p>
          <w:p w14:paraId="6A48FDE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3.（木工板+石膏板）造型+灯带+软膜灯箱: 单色； </w:t>
            </w:r>
          </w:p>
          <w:p w14:paraId="2B20570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4.教室照度满足300</w:t>
            </w:r>
            <w:r>
              <w:rPr>
                <w:rFonts w:hint="eastAsia" w:ascii="宋体" w:hAnsi="宋体" w:cs="宋体"/>
                <w:i w:val="0"/>
                <w:iCs w:val="0"/>
                <w:color w:val="000000"/>
                <w:kern w:val="0"/>
                <w:sz w:val="18"/>
                <w:szCs w:val="18"/>
                <w:u w:val="none"/>
                <w:lang w:val="en-US" w:eastAsia="zh-CN" w:bidi="ar"/>
              </w:rPr>
              <w:t>Lu</w:t>
            </w:r>
            <w:r>
              <w:rPr>
                <w:rFonts w:hint="eastAsia" w:ascii="宋体" w:hAnsi="宋体" w:eastAsia="宋体" w:cs="宋体"/>
                <w:i w:val="0"/>
                <w:iCs w:val="0"/>
                <w:color w:val="000000"/>
                <w:kern w:val="0"/>
                <w:sz w:val="18"/>
                <w:szCs w:val="18"/>
                <w:u w:val="none"/>
                <w:lang w:val="en-US" w:eastAsia="zh-CN" w:bidi="ar"/>
              </w:rPr>
              <w:t>x,采用LED条形灯和灯带以及软膜灯箱进行融合安装(包含强电改造布线)；</w:t>
            </w:r>
          </w:p>
        </w:tc>
        <w:tc>
          <w:tcPr>
            <w:tcW w:w="462" w:type="dxa"/>
            <w:vAlign w:val="center"/>
          </w:tcPr>
          <w:p w14:paraId="6F0D6E9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61B1A0C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5E729C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17FD38B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6BDC3F1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2218183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1363D44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3D8DD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2EE1EBBD">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32</w:t>
            </w:r>
          </w:p>
        </w:tc>
        <w:tc>
          <w:tcPr>
            <w:tcW w:w="1425" w:type="dxa"/>
            <w:vAlign w:val="top"/>
          </w:tcPr>
          <w:p w14:paraId="48555CA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墙面造型及文化建设</w:t>
            </w:r>
          </w:p>
        </w:tc>
        <w:tc>
          <w:tcPr>
            <w:tcW w:w="4325" w:type="dxa"/>
            <w:vAlign w:val="top"/>
          </w:tcPr>
          <w:p w14:paraId="7B0F1EA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1.采用水晶亚克力制作,包含效果设计;,采用LED光源，包含电源器;铝合金边框; 墙面部分造型采用木制龙骨(涂刷防火涂料 3遍);防潮纸面石膏板造型。</w:t>
            </w:r>
          </w:p>
        </w:tc>
        <w:tc>
          <w:tcPr>
            <w:tcW w:w="462" w:type="dxa"/>
            <w:vAlign w:val="center"/>
          </w:tcPr>
          <w:p w14:paraId="5C613F8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49F09D1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92BE0A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ADC51F5">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409D9F2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1C807F8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5FA242C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45EA3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38E2FF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33</w:t>
            </w:r>
          </w:p>
        </w:tc>
        <w:tc>
          <w:tcPr>
            <w:tcW w:w="1425" w:type="dxa"/>
            <w:vAlign w:val="top"/>
          </w:tcPr>
          <w:p w14:paraId="31A3C0F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综合布线</w:t>
            </w:r>
          </w:p>
        </w:tc>
        <w:tc>
          <w:tcPr>
            <w:tcW w:w="4325" w:type="dxa"/>
            <w:vAlign w:val="top"/>
          </w:tcPr>
          <w:p w14:paraId="5B84288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1.根据采购方要求强弱电线缆、面板布置到位；</w:t>
            </w:r>
          </w:p>
        </w:tc>
        <w:tc>
          <w:tcPr>
            <w:tcW w:w="462" w:type="dxa"/>
            <w:vAlign w:val="center"/>
          </w:tcPr>
          <w:p w14:paraId="12903AB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586DB68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7A42710A">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479DF55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00ACBF20">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0E90471">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D1EAEF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605C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5D5C7632">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34</w:t>
            </w:r>
          </w:p>
        </w:tc>
        <w:tc>
          <w:tcPr>
            <w:tcW w:w="1425" w:type="dxa"/>
            <w:vAlign w:val="top"/>
          </w:tcPr>
          <w:p w14:paraId="17CB563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（定制）指挥桌椅</w:t>
            </w:r>
          </w:p>
        </w:tc>
        <w:tc>
          <w:tcPr>
            <w:tcW w:w="4325" w:type="dxa"/>
            <w:vAlign w:val="top"/>
          </w:tcPr>
          <w:p w14:paraId="5692CDE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1.控制台主体框架应由镀锌钢板，厚度≥0.8mm。</w:t>
            </w:r>
          </w:p>
          <w:p w14:paraId="6BBD672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2.每个控制台深度范围为≥870mm，可提供足够腿部空间。</w:t>
            </w:r>
          </w:p>
          <w:p w14:paraId="30E5A66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3.工作台高度为≥750mm;主体框架下部应采用可调整水平的高强度铝合金固定脚支撑。</w:t>
            </w:r>
          </w:p>
          <w:p w14:paraId="7246078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4.所有钣金配件外表面需进行静电吸塑工艺，表面应附着黑/灰磨砂纹理;</w:t>
            </w:r>
          </w:p>
          <w:p w14:paraId="683A40E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5.面板应使用颗粒板板加工，整体厚度≥18mm；</w:t>
            </w:r>
          </w:p>
          <w:p w14:paraId="04DE210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6.底柜前后门应采用冷轧镀锌钢板制作；</w:t>
            </w:r>
          </w:p>
          <w:p w14:paraId="611A5AB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7.规格：≥9500*870*750mm</w:t>
            </w:r>
          </w:p>
        </w:tc>
        <w:tc>
          <w:tcPr>
            <w:tcW w:w="462" w:type="dxa"/>
            <w:vAlign w:val="center"/>
          </w:tcPr>
          <w:p w14:paraId="1302C6E0">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D67873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2F0D0BE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36DA287C">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7C265FBB">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4499F27E">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6A66D5E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53EEA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14033BA0">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35</w:t>
            </w:r>
          </w:p>
        </w:tc>
        <w:tc>
          <w:tcPr>
            <w:tcW w:w="1425" w:type="dxa"/>
            <w:vAlign w:val="top"/>
          </w:tcPr>
          <w:p w14:paraId="5E2F4F7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（定制）观摩会议桌椅</w:t>
            </w:r>
          </w:p>
        </w:tc>
        <w:tc>
          <w:tcPr>
            <w:tcW w:w="4325" w:type="dxa"/>
            <w:vAlign w:val="top"/>
          </w:tcPr>
          <w:p w14:paraId="2DB091F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1.会议桌：中密度纤维板,密度为≥930kg/m3,含水率：4%～13%。</w:t>
            </w:r>
          </w:p>
          <w:p w14:paraId="440182A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2.表面硬度达到≥3H级；</w:t>
            </w:r>
          </w:p>
          <w:p w14:paraId="2EBB574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3.规格：≥4600*1600*750mm；</w:t>
            </w:r>
          </w:p>
        </w:tc>
        <w:tc>
          <w:tcPr>
            <w:tcW w:w="462" w:type="dxa"/>
            <w:vAlign w:val="center"/>
          </w:tcPr>
          <w:p w14:paraId="56FBBAA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0774BFE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497576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04D3A433">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583103F6">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20D8B4A2">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6CF7DFC8">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r w14:paraId="0825C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top"/>
          </w:tcPr>
          <w:p w14:paraId="346D4321">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left"/>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36</w:t>
            </w:r>
          </w:p>
        </w:tc>
        <w:tc>
          <w:tcPr>
            <w:tcW w:w="1425" w:type="dxa"/>
            <w:vAlign w:val="top"/>
          </w:tcPr>
          <w:p w14:paraId="7E287A3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eastAsia="宋体" w:cs="宋体"/>
                <w:i w:val="0"/>
                <w:iCs w:val="0"/>
                <w:color w:val="000000"/>
                <w:kern w:val="0"/>
                <w:sz w:val="18"/>
                <w:szCs w:val="18"/>
                <w:u w:val="none"/>
                <w:lang w:val="en-US" w:eastAsia="zh-CN" w:bidi="ar"/>
              </w:rPr>
              <w:t>AI馆员数字交互系统</w:t>
            </w:r>
          </w:p>
        </w:tc>
        <w:tc>
          <w:tcPr>
            <w:tcW w:w="4325" w:type="dxa"/>
            <w:vAlign w:val="top"/>
          </w:tcPr>
          <w:p w14:paraId="20C415C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1.≥55英寸触摸屏，G+G电容触摸。</w:t>
            </w:r>
          </w:p>
          <w:p w14:paraId="45702D0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2.支持4K显示，≥分辨率3840（H）×2160（V）；</w:t>
            </w:r>
          </w:p>
          <w:p w14:paraId="23BD5BC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3.存储空间：内存≥8GB，扩展存储≥128GB；</w:t>
            </w:r>
          </w:p>
          <w:p w14:paraId="0E744FD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4.主机扩展功能：支持≥1路HDMI输出，≥1路耳机输出，USB3.0≥2，TYPE-C≥1；带麦克风支持语音输入；带摄像头和喇叭，支持声音外放。</w:t>
            </w:r>
          </w:p>
          <w:p w14:paraId="3A9F71E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5.网络接口：RJ45/LAN*1，无线网络支持2.4G/5G双频，支持WIFI6；</w:t>
            </w:r>
          </w:p>
          <w:p w14:paraId="1B8CD3B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6.电源与功耗：输入电压AC220V 50/60Hz ，整机功耗≤220W；</w:t>
            </w:r>
          </w:p>
          <w:p w14:paraId="3823750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7.语音识别：支持语音唤醒和触摸按钮开启问答多种交互方式，开启后可进行语音人机问答；</w:t>
            </w:r>
          </w:p>
          <w:p w14:paraId="4746492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8.支持云语音朗读，回答内容支持语音朗读；</w:t>
            </w:r>
          </w:p>
          <w:p w14:paraId="1361C33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9.常见问题：支持界面显示常见问题列表；</w:t>
            </w:r>
          </w:p>
          <w:p w14:paraId="40ECBF2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10.支持问题模糊问答，当数字人无法精确找到问题答案时，可推荐相关问题；</w:t>
            </w:r>
          </w:p>
          <w:p w14:paraId="11D6008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11.回答内容支持文本、富文本、图片、应用任务等多种类型；用户可根据应用任务选项进行二次人机问答交互；</w:t>
            </w:r>
          </w:p>
          <w:p w14:paraId="46695B6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12.支持大模型内容问答，大模型包括通用大模型和行业知识库；</w:t>
            </w:r>
          </w:p>
          <w:p w14:paraId="52B97D9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13.支持“一键清屏”功能，帮助保护用户隐私，避免被后续用户看到之前询问记录；</w:t>
            </w:r>
          </w:p>
          <w:p w14:paraId="2CC634B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14.支持方言识别，可选择使用方言识别模型进行语音识别；</w:t>
            </w:r>
          </w:p>
          <w:p w14:paraId="34821C5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15.支持单对话框/连续对话框模式，对话框内可以支持显示一次对话，或者多次对话内容；</w:t>
            </w:r>
          </w:p>
          <w:p w14:paraId="2F8C6D3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16.图书资源：内置≥3000册EPUB电子图书，内容涵盖精品推荐、经典名著、经管理财、小说传记等热门分类，同时对接云端3万+图书资源库；</w:t>
            </w:r>
          </w:p>
          <w:p w14:paraId="45B7542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17.期刊资源：内置≥500种贴合大众阅读的综合文化类期刊，类型涵盖时尚生活、文化传媒、文学艺术、科技科普等资源类目，同时对接云端≥3000期刊资源库；</w:t>
            </w:r>
          </w:p>
          <w:p w14:paraId="1CEEBB2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18.视频资源：内置≥400集优质视频资源库，内容覆盖文学、科学、历史、哲学、艺术等；</w:t>
            </w:r>
          </w:p>
          <w:p w14:paraId="5F92F8A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19.音频资源：内置≥2500集国学有声，为热爱国学文化的读者提供优质的音频资源。用户可以在线听国学，也可以扫码带走，随时随地品味经典；</w:t>
            </w:r>
          </w:p>
          <w:p w14:paraId="2B88B81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20.活动运营：数字人系统在支持特色资源与活动主题定制展示的同时，还会发布互动体验小应用，例如党建知识答题、元宵节猜灯谜等，满足节日活动运营需求。</w:t>
            </w:r>
          </w:p>
          <w:p w14:paraId="12FBFE3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21.支持智能问答库管理，包括问答对、问答文档、问答素材、应用任务等类型；</w:t>
            </w:r>
          </w:p>
          <w:p w14:paraId="6587BA0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 问答库支持自定义添加、编辑、删除业务问答分类，分类数量无限制；问答分类支持批量编辑，可以移动和拖拽排序；</w:t>
            </w:r>
          </w:p>
          <w:p w14:paraId="4B4DB07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23.支持自定义添加、编辑、删除、批量导入、批量导出、批量删除业务问答规则，业务问答规则数量无限制；</w:t>
            </w:r>
          </w:p>
          <w:p w14:paraId="3030C1B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 手工启用、手工停用业务问答规则，同时可根据关键词搜索业务内容；</w:t>
            </w:r>
          </w:p>
          <w:p w14:paraId="7D0160C9">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25.业务问答规则中，回答的答案支持文本、图片、自定义级联菜单、图文混排、链接等多种内容；</w:t>
            </w:r>
          </w:p>
          <w:p w14:paraId="25E8C358">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26.自定义添加、编辑业务问答中问题标签；问答时根据标签进行问答提示；</w:t>
            </w:r>
          </w:p>
          <w:p w14:paraId="727C934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27.自动对没有答案的问题描述进行统计，按照问答频率由高到低排序，同时可以批量导出未知问题；</w:t>
            </w:r>
          </w:p>
          <w:p w14:paraId="36EF063C">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 支持手工添加未知问题到业务问答规则，并支持自定义修改；</w:t>
            </w:r>
          </w:p>
          <w:p w14:paraId="32097617">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29.支持自动忽略无意义的问法，比如无效数字字母的组合；</w:t>
            </w:r>
          </w:p>
          <w:p w14:paraId="25A4927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30.知识问答，内置通用问答库，可以回答常识类问题；</w:t>
            </w:r>
          </w:p>
          <w:p w14:paraId="7D50731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 支持未知问题回复语自定义；</w:t>
            </w:r>
          </w:p>
          <w:p w14:paraId="4084B5E2">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32支持问答无匹配时，提供用户语义中相似度最高的热门问题；</w:t>
            </w:r>
          </w:p>
          <w:p w14:paraId="5AF35654">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32.技能设置里支持阈值自定义；</w:t>
            </w:r>
          </w:p>
          <w:p w14:paraId="683B2E5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33.支持微应用智能推荐；</w:t>
            </w:r>
          </w:p>
          <w:p w14:paraId="797819F0">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34.支持智能学习功能，根据用户行为自动记录待学习问题，超级管理员可进行一键学习或一键通过；</w:t>
            </w:r>
          </w:p>
          <w:p w14:paraId="71D8127E">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35.对接图书馆馆藏系统，支持单位纸质馆藏查询。</w:t>
            </w:r>
          </w:p>
          <w:p w14:paraId="30E1F9C1">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36.问答库支持智能导入，上传文档后可自动抽取出问答。</w:t>
            </w:r>
          </w:p>
          <w:p w14:paraId="3CDA6EE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37.支持问答历史纪录查看，根据时间、来源筛选指定历史会话内容，同时可以批量导出机器人历史会话记录；</w:t>
            </w:r>
          </w:p>
          <w:p w14:paraId="7DECA5C6">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38.支持问答内容统计，根据会话内容形成问答内容统计图，实时展示机器人直接回答、未回答、引导用户回答3类问答的统计数据；</w:t>
            </w:r>
          </w:p>
          <w:p w14:paraId="03C8CE1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39.支持热门问题统计，根据问答分类进行热门问题统计；</w:t>
            </w:r>
          </w:p>
          <w:p w14:paraId="4B211C6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40.支持访客统计，根据时间筛选查看访客数、会话数、消息总数；</w:t>
            </w:r>
          </w:p>
          <w:p w14:paraId="15A1C13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41.支持有效无效回复统计，根据时间筛选查看有效无效率；支持知识库分类命中次数统计。</w:t>
            </w:r>
          </w:p>
          <w:p w14:paraId="0C4FBA4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.可通过后台自定义配置数字人界面显示内容，如：logo、热门问题、数字人形象、导航等内容；</w:t>
            </w:r>
          </w:p>
          <w:p w14:paraId="7D3DD3E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.数字形象提供可视化配置方式，通过所见即所得的方式可自由控制数字形象的大小和位置；</w:t>
            </w:r>
          </w:p>
          <w:p w14:paraId="3496E75A">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.可通过后台自定义配置数字人界面版式风格，如：背景图、文本颜色、文字背景颜色、按钮图片等；</w:t>
            </w:r>
          </w:p>
          <w:p w14:paraId="16987A4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5</w:t>
            </w:r>
            <w:r>
              <w:rPr>
                <w:rFonts w:hint="eastAsia" w:ascii="宋体" w:hAnsi="宋体" w:eastAsia="宋体" w:cs="宋体"/>
                <w:i w:val="0"/>
                <w:iCs w:val="0"/>
                <w:color w:val="000000"/>
                <w:kern w:val="0"/>
                <w:sz w:val="18"/>
                <w:szCs w:val="18"/>
                <w:u w:val="none"/>
                <w:lang w:val="en-US" w:eastAsia="zh-CN" w:bidi="ar"/>
              </w:rPr>
              <w:t>.支持自定义模块组件是否显示；</w:t>
            </w:r>
          </w:p>
          <w:p w14:paraId="5A6945FF">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6</w:t>
            </w:r>
            <w:r>
              <w:rPr>
                <w:rFonts w:hint="eastAsia" w:ascii="宋体" w:hAnsi="宋体" w:eastAsia="宋体" w:cs="宋体"/>
                <w:i w:val="0"/>
                <w:iCs w:val="0"/>
                <w:color w:val="000000"/>
                <w:kern w:val="0"/>
                <w:sz w:val="18"/>
                <w:szCs w:val="18"/>
                <w:u w:val="none"/>
                <w:lang w:val="en-US" w:eastAsia="zh-CN" w:bidi="ar"/>
              </w:rPr>
              <w:t>.提供不少于五种内置版式风格，可通过切换系统版式来快速更改设备端展示的版式风格；</w:t>
            </w:r>
          </w:p>
          <w:p w14:paraId="58AF9115">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7</w:t>
            </w:r>
            <w:r>
              <w:rPr>
                <w:rFonts w:hint="eastAsia" w:ascii="宋体" w:hAnsi="宋体" w:eastAsia="宋体" w:cs="宋体"/>
                <w:i w:val="0"/>
                <w:iCs w:val="0"/>
                <w:color w:val="000000"/>
                <w:kern w:val="0"/>
                <w:sz w:val="18"/>
                <w:szCs w:val="18"/>
                <w:u w:val="none"/>
                <w:lang w:val="en-US" w:eastAsia="zh-CN" w:bidi="ar"/>
              </w:rPr>
              <w:t>.用户可以通过不同的版式，自主配置本单位专属数字人服务；</w:t>
            </w:r>
          </w:p>
          <w:p w14:paraId="6D0D589D">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48.</w:t>
            </w:r>
            <w:r>
              <w:rPr>
                <w:rFonts w:hint="eastAsia" w:ascii="宋体" w:hAnsi="宋体" w:eastAsia="宋体" w:cs="宋体"/>
                <w:i w:val="0"/>
                <w:iCs w:val="0"/>
                <w:color w:val="000000"/>
                <w:kern w:val="0"/>
                <w:sz w:val="18"/>
                <w:szCs w:val="18"/>
                <w:u w:val="none"/>
                <w:lang w:val="en-US" w:eastAsia="zh-CN" w:bidi="ar"/>
              </w:rPr>
              <w:t>支持配置多个形象，形象之间可相互切换，切换后唤醒词会跟随形象一起切换</w:t>
            </w:r>
            <w:r>
              <w:rPr>
                <w:rFonts w:hint="eastAsia" w:ascii="宋体" w:hAnsi="宋体" w:cs="宋体"/>
                <w:i w:val="0"/>
                <w:iCs w:val="0"/>
                <w:color w:val="000000"/>
                <w:kern w:val="0"/>
                <w:sz w:val="18"/>
                <w:szCs w:val="18"/>
                <w:u w:val="none"/>
                <w:lang w:val="en-US" w:eastAsia="zh-CN" w:bidi="ar"/>
              </w:rPr>
              <w:t>;</w:t>
            </w:r>
          </w:p>
          <w:p w14:paraId="681EF7AB">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49.</w:t>
            </w:r>
            <w:r>
              <w:rPr>
                <w:rFonts w:hint="eastAsia" w:ascii="宋体" w:hAnsi="宋体" w:eastAsia="宋体" w:cs="宋体"/>
                <w:i w:val="0"/>
                <w:iCs w:val="0"/>
                <w:color w:val="000000"/>
                <w:kern w:val="0"/>
                <w:sz w:val="18"/>
                <w:szCs w:val="18"/>
                <w:u w:val="none"/>
                <w:lang w:val="en-US" w:eastAsia="zh-CN" w:bidi="ar"/>
              </w:rPr>
              <w:t>支持终端统一管理；支持查看设备的在线/离线状态、设备版本号等；</w:t>
            </w:r>
          </w:p>
          <w:p w14:paraId="36754873">
            <w:pPr>
              <w:keepNext w:val="0"/>
              <w:keepLines w:val="0"/>
              <w:pageBreakBefore w:val="0"/>
              <w:widowControl/>
              <w:numPr>
                <w:ilvl w:val="0"/>
                <w:numId w:val="0"/>
              </w:numPr>
              <w:suppressLineNumbers w:val="0"/>
              <w:kinsoku/>
              <w:wordWrap/>
              <w:overflowPunct/>
              <w:topLinePunct w:val="0"/>
              <w:autoSpaceDE/>
              <w:autoSpaceDN/>
              <w:bidi w:val="0"/>
              <w:adjustRightInd/>
              <w:snapToGrid/>
              <w:spacing w:after="0" w:line="240" w:lineRule="auto"/>
              <w:ind w:left="0" w:leftChars="0" w:firstLine="0" w:firstLineChars="0"/>
              <w:jc w:val="left"/>
              <w:textAlignment w:val="center"/>
              <w:rPr>
                <w:rFonts w:hint="eastAsia" w:ascii="宋体" w:hAnsi="宋体" w:eastAsia="宋体" w:cs="宋体"/>
                <w:sz w:val="28"/>
                <w:szCs w:val="28"/>
                <w:vertAlign w:val="baseline"/>
                <w:lang w:eastAsia="zh-CN"/>
              </w:rPr>
            </w:pPr>
            <w:r>
              <w:rPr>
                <w:rFonts w:hint="eastAsia" w:ascii="宋体" w:hAnsi="宋体" w:cs="宋体"/>
                <w:i w:val="0"/>
                <w:iCs w:val="0"/>
                <w:color w:val="000000"/>
                <w:kern w:val="0"/>
                <w:sz w:val="18"/>
                <w:szCs w:val="18"/>
                <w:u w:val="none"/>
                <w:lang w:val="en-US" w:eastAsia="zh-CN" w:bidi="ar"/>
              </w:rPr>
              <w:t>50.</w:t>
            </w:r>
            <w:r>
              <w:rPr>
                <w:rFonts w:hint="eastAsia" w:ascii="宋体" w:hAnsi="宋体" w:eastAsia="宋体" w:cs="宋体"/>
                <w:i w:val="0"/>
                <w:iCs w:val="0"/>
                <w:color w:val="000000"/>
                <w:kern w:val="0"/>
                <w:sz w:val="18"/>
                <w:szCs w:val="18"/>
                <w:u w:val="none"/>
                <w:lang w:val="en-US" w:eastAsia="zh-CN" w:bidi="ar"/>
              </w:rPr>
              <w:t>支持远程操作，包含刷新、重启设备、关机、退出客户端、截屏、上传日志、清理缓存等；支持给设备添加待机图片及待机视频。</w:t>
            </w:r>
          </w:p>
        </w:tc>
        <w:tc>
          <w:tcPr>
            <w:tcW w:w="462" w:type="dxa"/>
            <w:vAlign w:val="center"/>
          </w:tcPr>
          <w:p w14:paraId="1584176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500" w:type="dxa"/>
            <w:vAlign w:val="center"/>
          </w:tcPr>
          <w:p w14:paraId="135307C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sz w:val="28"/>
                <w:szCs w:val="28"/>
                <w:vertAlign w:val="baseline"/>
                <w:lang w:eastAsia="zh-CN"/>
              </w:rPr>
            </w:pPr>
          </w:p>
        </w:tc>
        <w:tc>
          <w:tcPr>
            <w:tcW w:w="488" w:type="dxa"/>
          </w:tcPr>
          <w:p w14:paraId="38FC669F">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500" w:type="dxa"/>
          </w:tcPr>
          <w:p w14:paraId="524547ED">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25" w:type="dxa"/>
          </w:tcPr>
          <w:p w14:paraId="5CB0BBC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2" w:type="dxa"/>
          </w:tcPr>
          <w:p w14:paraId="6285A854">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c>
          <w:tcPr>
            <w:tcW w:w="466" w:type="dxa"/>
          </w:tcPr>
          <w:p w14:paraId="4F8D5427">
            <w:pPr>
              <w:keepNext w:val="0"/>
              <w:keepLines w:val="0"/>
              <w:pageBreakBefore w:val="0"/>
              <w:widowControl/>
              <w:kinsoku/>
              <w:wordWrap/>
              <w:overflowPunct/>
              <w:topLinePunct w:val="0"/>
              <w:autoSpaceDE/>
              <w:autoSpaceDN/>
              <w:bidi w:val="0"/>
              <w:adjustRightInd w:val="0"/>
              <w:snapToGrid/>
              <w:spacing w:after="0" w:line="240" w:lineRule="auto"/>
              <w:jc w:val="left"/>
              <w:textAlignment w:val="auto"/>
              <w:rPr>
                <w:rFonts w:hint="eastAsia" w:ascii="宋体" w:hAnsi="宋体" w:eastAsia="宋体" w:cs="宋体"/>
                <w:sz w:val="28"/>
                <w:szCs w:val="28"/>
                <w:vertAlign w:val="baseline"/>
                <w:lang w:eastAsia="zh-CN"/>
              </w:rPr>
            </w:pPr>
          </w:p>
        </w:tc>
      </w:tr>
    </w:tbl>
    <w:p w14:paraId="1BCACFA5">
      <w:pPr>
        <w:pStyle w:val="4"/>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4CCDDB9">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日期：2025年 8月   日</w:t>
      </w:r>
    </w:p>
    <w:sectPr>
      <w:footerReference r:id="rId5" w:type="default"/>
      <w:pgSz w:w="11906" w:h="16838"/>
      <w:pgMar w:top="1440" w:right="1226" w:bottom="1440"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2BD7118"/>
    <w:rsid w:val="040F1960"/>
    <w:rsid w:val="042B29CC"/>
    <w:rsid w:val="06884E18"/>
    <w:rsid w:val="06974D0A"/>
    <w:rsid w:val="0A42599C"/>
    <w:rsid w:val="0B681816"/>
    <w:rsid w:val="0BD56464"/>
    <w:rsid w:val="10574A60"/>
    <w:rsid w:val="134C478E"/>
    <w:rsid w:val="13945506"/>
    <w:rsid w:val="15D038D4"/>
    <w:rsid w:val="176F1D07"/>
    <w:rsid w:val="184A7FAA"/>
    <w:rsid w:val="1AD0204C"/>
    <w:rsid w:val="1AE51AE6"/>
    <w:rsid w:val="1B0167A6"/>
    <w:rsid w:val="1B923901"/>
    <w:rsid w:val="1C810F5C"/>
    <w:rsid w:val="206F2A21"/>
    <w:rsid w:val="21651D3E"/>
    <w:rsid w:val="23E1293E"/>
    <w:rsid w:val="267A0713"/>
    <w:rsid w:val="29373FB6"/>
    <w:rsid w:val="29491A44"/>
    <w:rsid w:val="31DE6AA2"/>
    <w:rsid w:val="331B1C3E"/>
    <w:rsid w:val="34301016"/>
    <w:rsid w:val="3517070D"/>
    <w:rsid w:val="35865824"/>
    <w:rsid w:val="359478C3"/>
    <w:rsid w:val="363D2084"/>
    <w:rsid w:val="38721267"/>
    <w:rsid w:val="38F76E2A"/>
    <w:rsid w:val="397D4550"/>
    <w:rsid w:val="39A6165B"/>
    <w:rsid w:val="3A7B3A28"/>
    <w:rsid w:val="3CEA208C"/>
    <w:rsid w:val="3DFD6717"/>
    <w:rsid w:val="40A44847"/>
    <w:rsid w:val="411D604A"/>
    <w:rsid w:val="421A1DBC"/>
    <w:rsid w:val="48DB0F10"/>
    <w:rsid w:val="4BAD1567"/>
    <w:rsid w:val="4C401E9A"/>
    <w:rsid w:val="4C4C0073"/>
    <w:rsid w:val="4F4345B6"/>
    <w:rsid w:val="528569F6"/>
    <w:rsid w:val="59EA3696"/>
    <w:rsid w:val="5A9A53AC"/>
    <w:rsid w:val="5DE41146"/>
    <w:rsid w:val="5E224037"/>
    <w:rsid w:val="5E5A53D0"/>
    <w:rsid w:val="60F16261"/>
    <w:rsid w:val="61EA0548"/>
    <w:rsid w:val="621B0399"/>
    <w:rsid w:val="665665FA"/>
    <w:rsid w:val="6A0C4F0B"/>
    <w:rsid w:val="6A264F64"/>
    <w:rsid w:val="6B523023"/>
    <w:rsid w:val="74CA5B51"/>
    <w:rsid w:val="74EF6672"/>
    <w:rsid w:val="75045F0F"/>
    <w:rsid w:val="7A7A6EC4"/>
    <w:rsid w:val="7B451934"/>
    <w:rsid w:val="7BB302F8"/>
    <w:rsid w:val="7CAA611C"/>
    <w:rsid w:val="7D1A67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snapToGrid/>
      <w:spacing w:after="0"/>
      <w:ind w:firstLine="420"/>
    </w:pPr>
    <w:rPr>
      <w:rFonts w:eastAsia="宋体" w:asciiTheme="minorHAnsi" w:hAnsiTheme="minorHAnsi"/>
      <w:kern w:val="2"/>
      <w:sz w:val="21"/>
    </w:rPr>
  </w:style>
  <w:style w:type="paragraph" w:styleId="3">
    <w:name w:val="Body Text"/>
    <w:basedOn w:val="1"/>
    <w:next w:val="4"/>
    <w:qFormat/>
    <w:uiPriority w:val="0"/>
    <w:pPr>
      <w:widowControl w:val="0"/>
      <w:adjustRightInd/>
      <w:snapToGrid/>
      <w:spacing w:after="0"/>
      <w:ind w:right="491"/>
      <w:jc w:val="both"/>
    </w:pPr>
    <w:rPr>
      <w:rFonts w:ascii="楷体_GB2312" w:hAnsi="Calibri"/>
      <w:kern w:val="2"/>
      <w:sz w:val="21"/>
      <w:szCs w:val="24"/>
    </w:rPr>
  </w:style>
  <w:style w:type="paragraph" w:styleId="4">
    <w:name w:val="Body Text 2"/>
    <w:basedOn w:val="1"/>
    <w:next w:val="3"/>
    <w:semiHidden/>
    <w:unhideWhenUsed/>
    <w:qFormat/>
    <w:uiPriority w:val="99"/>
    <w:pPr>
      <w:spacing w:after="120" w:line="480" w:lineRule="auto"/>
    </w:pPr>
  </w:style>
  <w:style w:type="paragraph" w:styleId="5">
    <w:name w:val="Plain Text"/>
    <w:basedOn w:val="1"/>
    <w:qFormat/>
    <w:uiPriority w:val="0"/>
    <w:rPr>
      <w:rFonts w:ascii="宋体" w:hAnsi="Courier New"/>
    </w:rPr>
  </w:style>
  <w:style w:type="paragraph" w:styleId="6">
    <w:name w:val="footer"/>
    <w:basedOn w:val="1"/>
    <w:link w:val="14"/>
    <w:unhideWhenUsed/>
    <w:qFormat/>
    <w:uiPriority w:val="99"/>
    <w:pPr>
      <w:tabs>
        <w:tab w:val="center" w:pos="4153"/>
        <w:tab w:val="right" w:pos="8306"/>
      </w:tabs>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jc w:val="left"/>
    </w:pPr>
    <w:rPr>
      <w:kern w:val="0"/>
      <w:sz w:val="24"/>
    </w:rPr>
  </w:style>
  <w:style w:type="table" w:styleId="10">
    <w:name w:val="Table Grid"/>
    <w:basedOn w:val="9"/>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sz w:val="24"/>
      <w:szCs w:val="24"/>
    </w:rPr>
  </w:style>
  <w:style w:type="character" w:customStyle="1" w:styleId="13">
    <w:name w:val="页眉 Char"/>
    <w:basedOn w:val="11"/>
    <w:link w:val="7"/>
    <w:semiHidden/>
    <w:qFormat/>
    <w:uiPriority w:val="99"/>
    <w:rPr>
      <w:rFonts w:ascii="Tahoma" w:hAnsi="Tahoma"/>
      <w:sz w:val="18"/>
      <w:szCs w:val="18"/>
    </w:rPr>
  </w:style>
  <w:style w:type="character" w:customStyle="1" w:styleId="14">
    <w:name w:val="页脚 Char"/>
    <w:basedOn w:val="11"/>
    <w:link w:val="6"/>
    <w:semiHidden/>
    <w:qFormat/>
    <w:uiPriority w:val="99"/>
    <w:rPr>
      <w:rFonts w:ascii="Tahoma" w:hAnsi="Tahoma"/>
      <w:sz w:val="18"/>
      <w:szCs w:val="18"/>
    </w:rPr>
  </w:style>
  <w:style w:type="paragraph" w:customStyle="1" w:styleId="15">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6">
    <w:name w:val="List Paragraph"/>
    <w:basedOn w:val="1"/>
    <w:qFormat/>
    <w:uiPriority w:val="34"/>
    <w:pPr>
      <w:ind w:firstLine="420" w:firstLineChars="200"/>
    </w:pPr>
  </w:style>
  <w:style w:type="character" w:customStyle="1" w:styleId="17">
    <w:name w:val="font41"/>
    <w:basedOn w:val="11"/>
    <w:qFormat/>
    <w:uiPriority w:val="0"/>
    <w:rPr>
      <w:rFonts w:hint="eastAsia" w:ascii="宋体" w:hAnsi="宋体" w:eastAsia="宋体" w:cs="宋体"/>
      <w:color w:val="000000"/>
      <w:sz w:val="22"/>
      <w:szCs w:val="22"/>
      <w:u w:val="none"/>
    </w:rPr>
  </w:style>
  <w:style w:type="paragraph" w:styleId="1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19">
    <w:name w:val="null3"/>
    <w:qFormat/>
    <w:uiPriority w:val="0"/>
    <w:rPr>
      <w:rFonts w:hint="eastAsia" w:ascii="Calibri" w:hAnsi="Calibri" w:eastAsia="宋体" w:cs="Times New Roman"/>
      <w:lang w:val="en-US" w:eastAsia="zh-Hans" w:bidi="ar-SA"/>
    </w:rPr>
  </w:style>
  <w:style w:type="character" w:customStyle="1" w:styleId="20">
    <w:name w:val="font31"/>
    <w:basedOn w:val="11"/>
    <w:qFormat/>
    <w:uiPriority w:val="0"/>
    <w:rPr>
      <w:rFonts w:hint="eastAsia" w:ascii="宋体" w:hAnsi="宋体" w:eastAsia="宋体" w:cs="宋体"/>
      <w:color w:val="000000"/>
      <w:sz w:val="40"/>
      <w:szCs w:val="40"/>
      <w:u w:val="none"/>
    </w:rPr>
  </w:style>
  <w:style w:type="character" w:customStyle="1" w:styleId="21">
    <w:name w:val="font1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1078</Words>
  <Characters>1176</Characters>
  <Lines>31</Lines>
  <Paragraphs>8</Paragraphs>
  <TotalTime>35</TotalTime>
  <ScaleCrop>false</ScaleCrop>
  <LinksUpToDate>false</LinksUpToDate>
  <CharactersWithSpaces>1337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土豆爸</cp:lastModifiedBy>
  <dcterms:modified xsi:type="dcterms:W3CDTF">2025-12-23T04:35:09Z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3344C7C4FFFA4F10B19CE0A3A98DFBEB_13</vt:lpwstr>
  </property>
  <property fmtid="{D5CDD505-2E9C-101B-9397-08002B2CF9AE}" pid="4" name="KSOTemplateDocerSaveRecord">
    <vt:lpwstr>eyJoZGlkIjoiMDY5NmFjMmM4ZTljMGJiZDAxN2JmYTc0NGI0NmFiNDgiLCJ1c2VySWQiOiIxMTQxOTA2MzAwIn0=</vt:lpwstr>
  </property>
</Properties>
</file>