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E43923">
      <w:pPr>
        <w:jc w:val="center"/>
        <w:rPr>
          <w:rFonts w:hint="default" w:ascii="宋体" w:hAnsi="宋体" w:eastAsia="宋体" w:cs="宋体"/>
          <w:b/>
          <w:sz w:val="36"/>
          <w:szCs w:val="36"/>
          <w:lang w:val="en-US" w:eastAsia="zh-CN"/>
        </w:rPr>
      </w:pPr>
      <w:r>
        <w:rPr>
          <w:rFonts w:hint="eastAsia" w:ascii="宋体" w:hAnsi="宋体" w:eastAsia="宋体" w:cs="宋体"/>
          <w:b/>
          <w:sz w:val="36"/>
          <w:szCs w:val="36"/>
          <w:lang w:val="en-US" w:eastAsia="zh-CN"/>
        </w:rPr>
        <w:t>四川省成都市财贸职业高级中学校</w:t>
      </w:r>
    </w:p>
    <w:p w14:paraId="2CEAE2C0">
      <w:pPr>
        <w:jc w:val="center"/>
        <w:rPr>
          <w:rFonts w:hint="eastAsia" w:ascii="宋体" w:hAnsi="宋体" w:eastAsia="宋体" w:cs="宋体"/>
          <w:sz w:val="22"/>
          <w:szCs w:val="22"/>
        </w:rPr>
      </w:pPr>
      <w:r>
        <w:rPr>
          <w:rFonts w:hint="eastAsia" w:ascii="宋体" w:hAnsi="宋体" w:eastAsia="宋体" w:cs="宋体"/>
          <w:b/>
          <w:sz w:val="36"/>
          <w:szCs w:val="36"/>
          <w:lang w:eastAsia="zh-CN"/>
        </w:rPr>
        <w:t>关于</w:t>
      </w:r>
      <w:r>
        <w:rPr>
          <w:rFonts w:hint="eastAsia" w:ascii="宋体" w:hAnsi="宋体" w:eastAsia="宋体" w:cs="宋体"/>
          <w:b/>
          <w:sz w:val="36"/>
          <w:szCs w:val="36"/>
          <w:lang w:val="en-US" w:eastAsia="zh-CN"/>
        </w:rPr>
        <w:t>财贸职高新校区（职教园区）智慧黑板与电子班牌设备采购</w:t>
      </w:r>
      <w:r>
        <w:rPr>
          <w:rFonts w:hint="eastAsia" w:ascii="宋体" w:hAnsi="宋体" w:eastAsia="宋体" w:cs="宋体"/>
          <w:b/>
          <w:sz w:val="36"/>
          <w:szCs w:val="36"/>
        </w:rPr>
        <w:t>的</w:t>
      </w:r>
      <w:r>
        <w:rPr>
          <w:rFonts w:hint="eastAsia" w:ascii="宋体" w:hAnsi="宋体" w:eastAsia="宋体" w:cs="宋体"/>
          <w:b/>
          <w:sz w:val="36"/>
          <w:szCs w:val="36"/>
          <w:lang w:eastAsia="zh-CN"/>
        </w:rPr>
        <w:t>市场</w:t>
      </w:r>
      <w:r>
        <w:rPr>
          <w:rFonts w:hint="eastAsia" w:ascii="宋体" w:hAnsi="宋体" w:eastAsia="宋体" w:cs="宋体"/>
          <w:b/>
          <w:sz w:val="36"/>
          <w:szCs w:val="36"/>
        </w:rPr>
        <w:t>询价函</w:t>
      </w:r>
    </w:p>
    <w:p w14:paraId="5A1DE748">
      <w:pPr>
        <w:spacing w:line="240" w:lineRule="auto"/>
        <w:rPr>
          <w:rFonts w:hint="eastAsia" w:ascii="宋体" w:hAnsi="宋体" w:eastAsia="宋体" w:cs="宋体"/>
          <w:sz w:val="24"/>
          <w:szCs w:val="24"/>
        </w:rPr>
      </w:pPr>
      <w:r>
        <w:rPr>
          <w:rFonts w:hint="eastAsia" w:ascii="宋体" w:hAnsi="宋体" w:eastAsia="宋体" w:cs="宋体"/>
          <w:sz w:val="24"/>
          <w:szCs w:val="24"/>
          <w:lang w:eastAsia="zh-CN"/>
        </w:rPr>
        <w:t>致厂家、供应商</w:t>
      </w:r>
      <w:r>
        <w:rPr>
          <w:rFonts w:hint="eastAsia" w:ascii="宋体" w:hAnsi="宋体" w:eastAsia="宋体" w:cs="宋体"/>
          <w:sz w:val="24"/>
          <w:szCs w:val="24"/>
        </w:rPr>
        <w:t>：</w:t>
      </w:r>
    </w:p>
    <w:p w14:paraId="62E42353">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因</w:t>
      </w:r>
      <w:r>
        <w:rPr>
          <w:rFonts w:hint="eastAsia" w:ascii="宋体" w:hAnsi="宋体" w:eastAsia="宋体" w:cs="宋体"/>
          <w:sz w:val="24"/>
          <w:szCs w:val="24"/>
          <w:lang w:val="en-US" w:eastAsia="zh-CN"/>
        </w:rPr>
        <w:t>我校</w:t>
      </w:r>
      <w:r>
        <w:rPr>
          <w:rFonts w:hint="eastAsia" w:ascii="宋体" w:hAnsi="宋体" w:eastAsia="宋体" w:cs="宋体"/>
          <w:sz w:val="24"/>
          <w:szCs w:val="24"/>
          <w:u w:val="single"/>
          <w:lang w:val="en-US" w:eastAsia="zh-CN"/>
        </w:rPr>
        <w:t>财贸职高新校区（职教园区）智慧黑板及电子班牌设备采购</w:t>
      </w:r>
      <w:r>
        <w:rPr>
          <w:rFonts w:hint="eastAsia" w:ascii="宋体" w:hAnsi="宋体" w:eastAsia="宋体" w:cs="宋体"/>
          <w:sz w:val="24"/>
          <w:szCs w:val="24"/>
        </w:rPr>
        <w:t>项目需要，</w:t>
      </w:r>
      <w:r>
        <w:rPr>
          <w:rFonts w:hint="eastAsia" w:ascii="宋体" w:hAnsi="宋体" w:eastAsia="宋体" w:cs="宋体"/>
          <w:sz w:val="24"/>
          <w:szCs w:val="24"/>
          <w:lang w:eastAsia="zh-CN"/>
        </w:rPr>
        <w:t>为充分了解相关设备市场定价，我</w:t>
      </w:r>
      <w:r>
        <w:rPr>
          <w:rFonts w:hint="eastAsia" w:ascii="宋体" w:hAnsi="宋体" w:eastAsia="宋体" w:cs="宋体"/>
          <w:sz w:val="24"/>
          <w:szCs w:val="24"/>
          <w:lang w:val="en-US" w:eastAsia="zh-CN"/>
        </w:rPr>
        <w:t>校</w:t>
      </w:r>
      <w:r>
        <w:rPr>
          <w:rFonts w:hint="eastAsia" w:ascii="宋体" w:hAnsi="宋体" w:eastAsia="宋体" w:cs="宋体"/>
          <w:sz w:val="24"/>
          <w:szCs w:val="24"/>
        </w:rPr>
        <w:t>现向各</w:t>
      </w:r>
      <w:r>
        <w:rPr>
          <w:rFonts w:hint="eastAsia" w:ascii="宋体" w:hAnsi="宋体" w:eastAsia="宋体" w:cs="宋体"/>
          <w:sz w:val="24"/>
          <w:szCs w:val="24"/>
          <w:lang w:eastAsia="zh-CN"/>
        </w:rPr>
        <w:t>供应商</w:t>
      </w:r>
      <w:r>
        <w:rPr>
          <w:rFonts w:hint="eastAsia" w:ascii="宋体" w:hAnsi="宋体" w:eastAsia="宋体" w:cs="宋体"/>
          <w:sz w:val="24"/>
          <w:szCs w:val="24"/>
        </w:rPr>
        <w:t>进行市场</w:t>
      </w:r>
      <w:r>
        <w:rPr>
          <w:rFonts w:hint="eastAsia" w:ascii="宋体" w:hAnsi="宋体" w:eastAsia="宋体" w:cs="宋体"/>
          <w:sz w:val="24"/>
          <w:szCs w:val="24"/>
          <w:lang w:eastAsia="zh-CN"/>
        </w:rPr>
        <w:t>询价</w:t>
      </w:r>
      <w:r>
        <w:rPr>
          <w:rFonts w:hint="eastAsia" w:ascii="宋体" w:hAnsi="宋体" w:eastAsia="宋体" w:cs="宋体"/>
          <w:sz w:val="24"/>
          <w:szCs w:val="24"/>
        </w:rPr>
        <w:t>，现欢迎各</w:t>
      </w:r>
      <w:r>
        <w:rPr>
          <w:rFonts w:hint="eastAsia" w:ascii="宋体" w:hAnsi="宋体" w:eastAsia="宋体" w:cs="宋体"/>
          <w:sz w:val="24"/>
          <w:szCs w:val="24"/>
          <w:lang w:eastAsia="zh-CN"/>
        </w:rPr>
        <w:t>潜在意向供应商前来</w:t>
      </w:r>
      <w:r>
        <w:rPr>
          <w:rFonts w:hint="eastAsia" w:ascii="宋体" w:hAnsi="宋体" w:eastAsia="宋体" w:cs="宋体"/>
          <w:sz w:val="24"/>
          <w:szCs w:val="24"/>
        </w:rPr>
        <w:t>提交</w:t>
      </w:r>
      <w:r>
        <w:rPr>
          <w:rFonts w:hint="eastAsia" w:ascii="宋体" w:hAnsi="宋体" w:eastAsia="宋体" w:cs="宋体"/>
          <w:sz w:val="24"/>
          <w:szCs w:val="24"/>
          <w:lang w:eastAsia="zh-CN"/>
        </w:rPr>
        <w:t>密封的报价资料</w:t>
      </w:r>
      <w:r>
        <w:rPr>
          <w:rFonts w:hint="eastAsia" w:ascii="宋体" w:hAnsi="宋体" w:eastAsia="宋体" w:cs="宋体"/>
          <w:sz w:val="24"/>
          <w:szCs w:val="24"/>
        </w:rPr>
        <w:t>。</w:t>
      </w:r>
      <w:r>
        <w:rPr>
          <w:rFonts w:hint="eastAsia" w:ascii="宋体" w:hAnsi="宋体" w:eastAsia="宋体" w:cs="宋体"/>
          <w:b/>
          <w:bCs/>
          <w:sz w:val="24"/>
          <w:szCs w:val="24"/>
          <w:lang w:eastAsia="zh-CN"/>
        </w:rPr>
        <w:t>该报价资料仅作为采购人采购时最高限价参考定价使用</w:t>
      </w:r>
      <w:r>
        <w:rPr>
          <w:rFonts w:hint="eastAsia" w:ascii="宋体" w:hAnsi="宋体" w:eastAsia="宋体" w:cs="宋体"/>
          <w:sz w:val="24"/>
          <w:szCs w:val="24"/>
          <w:lang w:eastAsia="zh-CN"/>
        </w:rPr>
        <w:t>。</w:t>
      </w:r>
    </w:p>
    <w:p w14:paraId="2ECD0FD7">
      <w:pPr>
        <w:numPr>
          <w:ilvl w:val="0"/>
          <w:numId w:val="1"/>
        </w:numPr>
        <w:spacing w:line="24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eastAsia="zh-CN"/>
        </w:rPr>
        <w:t>设备规格型号、数量：详见附件</w:t>
      </w:r>
      <w:r>
        <w:rPr>
          <w:rFonts w:hint="eastAsia" w:ascii="宋体" w:hAnsi="宋体" w:eastAsia="宋体" w:cs="宋体"/>
          <w:sz w:val="24"/>
          <w:szCs w:val="24"/>
          <w:lang w:val="en-US" w:eastAsia="zh-CN"/>
        </w:rPr>
        <w:t>2</w:t>
      </w:r>
    </w:p>
    <w:p w14:paraId="32395D87">
      <w:pPr>
        <w:numPr>
          <w:ilvl w:val="0"/>
          <w:numId w:val="0"/>
        </w:numPr>
        <w:spacing w:line="24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二</w:t>
      </w:r>
      <w:r>
        <w:rPr>
          <w:rFonts w:hint="eastAsia" w:ascii="宋体" w:hAnsi="宋体" w:eastAsia="宋体" w:cs="宋体"/>
          <w:sz w:val="24"/>
          <w:szCs w:val="24"/>
          <w:lang w:eastAsia="zh-CN"/>
        </w:rPr>
        <w:t>、报价须知</w:t>
      </w:r>
    </w:p>
    <w:p w14:paraId="51FC3047">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1.报价资料的组成应按</w:t>
      </w:r>
      <w:r>
        <w:rPr>
          <w:rFonts w:hint="eastAsia" w:ascii="宋体" w:hAnsi="宋体" w:eastAsia="宋体" w:cs="宋体"/>
          <w:sz w:val="24"/>
          <w:szCs w:val="24"/>
          <w:lang w:val="en-US" w:eastAsia="zh-CN"/>
        </w:rPr>
        <w:t>我校</w:t>
      </w:r>
      <w:r>
        <w:rPr>
          <w:rFonts w:hint="eastAsia" w:ascii="宋体" w:hAnsi="宋体" w:eastAsia="宋体" w:cs="宋体"/>
          <w:sz w:val="24"/>
          <w:szCs w:val="24"/>
          <w:lang w:eastAsia="zh-CN"/>
        </w:rPr>
        <w:t>提供清单内容进行报价并加盖单位公章，报价应包含设备费用、</w:t>
      </w:r>
      <w:r>
        <w:rPr>
          <w:rFonts w:hint="eastAsia" w:ascii="宋体" w:hAnsi="宋体" w:eastAsia="宋体" w:cs="宋体"/>
          <w:sz w:val="24"/>
          <w:szCs w:val="24"/>
          <w:lang w:val="en-US" w:eastAsia="zh-CN"/>
        </w:rPr>
        <w:t>运输费、装卸费、增值税费、培训、质保、售后服务</w:t>
      </w:r>
      <w:r>
        <w:rPr>
          <w:rFonts w:hint="eastAsia" w:ascii="宋体" w:hAnsi="宋体" w:eastAsia="宋体" w:cs="宋体"/>
          <w:sz w:val="24"/>
          <w:szCs w:val="24"/>
          <w:lang w:eastAsia="zh-CN"/>
        </w:rPr>
        <w:t>等与项目有关的一切费用；</w:t>
      </w:r>
    </w:p>
    <w:p w14:paraId="4CB2BDA5">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.报价资料须提交以下：详见报价函（附件</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、清单报价表（附件</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、营业执照复印件，上述材料均需加盖报价单位公章（纸质材料2份，电子版1份）；</w:t>
      </w:r>
    </w:p>
    <w:p w14:paraId="66B3F0C2">
      <w:pPr>
        <w:spacing w:line="24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3.报价资料必须密封。</w:t>
      </w:r>
    </w:p>
    <w:p w14:paraId="559226D3">
      <w:pPr>
        <w:spacing w:line="24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三</w:t>
      </w:r>
      <w:r>
        <w:rPr>
          <w:rFonts w:hint="eastAsia" w:ascii="宋体" w:hAnsi="宋体" w:eastAsia="宋体" w:cs="宋体"/>
          <w:sz w:val="24"/>
          <w:szCs w:val="24"/>
          <w:lang w:eastAsia="zh-CN"/>
        </w:rPr>
        <w:t>、报价书提供时间及方式：</w:t>
      </w:r>
    </w:p>
    <w:p w14:paraId="13536677">
      <w:pPr>
        <w:spacing w:line="24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报价资料提交截止时间：202</w:t>
      </w:r>
      <w:r>
        <w:rPr>
          <w:rFonts w:hint="eastAsia" w:ascii="宋体" w:hAnsi="宋体" w:eastAsia="宋体" w:cs="宋体"/>
          <w:sz w:val="24"/>
          <w:szCs w:val="24"/>
          <w:lang w:val="en-US" w:eastAsia="zh-CN"/>
        </w:rPr>
        <w:t>5</w:t>
      </w:r>
      <w:r>
        <w:rPr>
          <w:rFonts w:hint="eastAsia" w:ascii="宋体" w:hAnsi="宋体" w:eastAsia="宋体" w:cs="宋体"/>
          <w:sz w:val="24"/>
          <w:szCs w:val="24"/>
          <w:lang w:eastAsia="zh-CN"/>
        </w:rPr>
        <w:t>年</w:t>
      </w:r>
      <w:r>
        <w:rPr>
          <w:rFonts w:hint="eastAsia" w:ascii="宋体" w:hAnsi="宋体" w:eastAsia="宋体" w:cs="宋体"/>
          <w:sz w:val="24"/>
          <w:szCs w:val="24"/>
          <w:lang w:val="en-US" w:eastAsia="zh-CN"/>
        </w:rPr>
        <w:t>9</w:t>
      </w:r>
      <w:r>
        <w:rPr>
          <w:rFonts w:hint="eastAsia" w:ascii="宋体" w:hAnsi="宋体" w:eastAsia="宋体" w:cs="宋体"/>
          <w:sz w:val="24"/>
          <w:szCs w:val="24"/>
          <w:lang w:eastAsia="zh-CN"/>
        </w:rPr>
        <w:t>月</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日</w:t>
      </w:r>
      <w:r>
        <w:rPr>
          <w:rFonts w:hint="eastAsia" w:ascii="宋体" w:hAnsi="宋体" w:eastAsia="宋体" w:cs="宋体"/>
          <w:sz w:val="24"/>
          <w:szCs w:val="24"/>
          <w:lang w:val="en-US" w:eastAsia="zh-CN"/>
        </w:rPr>
        <w:t>18：00前</w:t>
      </w:r>
    </w:p>
    <w:p w14:paraId="7AE4000A">
      <w:pPr>
        <w:spacing w:line="24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报价资料递交方式（可通过</w:t>
      </w:r>
      <w:r>
        <w:rPr>
          <w:rFonts w:hint="eastAsia" w:ascii="宋体" w:hAnsi="宋体" w:eastAsia="宋体" w:cs="宋体"/>
          <w:b/>
          <w:bCs/>
          <w:sz w:val="24"/>
          <w:szCs w:val="24"/>
          <w:lang w:eastAsia="zh-CN"/>
        </w:rPr>
        <w:t>邮寄</w:t>
      </w:r>
      <w:r>
        <w:rPr>
          <w:rFonts w:hint="eastAsia" w:ascii="宋体" w:hAnsi="宋体" w:eastAsia="宋体" w:cs="宋体"/>
          <w:sz w:val="24"/>
          <w:szCs w:val="24"/>
          <w:lang w:eastAsia="zh-CN"/>
        </w:rPr>
        <w:t>或</w:t>
      </w:r>
      <w:r>
        <w:rPr>
          <w:rFonts w:hint="eastAsia" w:ascii="宋体" w:hAnsi="宋体" w:eastAsia="宋体" w:cs="宋体"/>
          <w:b/>
          <w:bCs/>
          <w:sz w:val="24"/>
          <w:szCs w:val="24"/>
          <w:lang w:eastAsia="zh-CN"/>
        </w:rPr>
        <w:t>现场</w:t>
      </w:r>
      <w:r>
        <w:rPr>
          <w:rFonts w:hint="eastAsia" w:ascii="宋体" w:hAnsi="宋体" w:eastAsia="宋体" w:cs="宋体"/>
          <w:b w:val="0"/>
          <w:bCs w:val="0"/>
          <w:sz w:val="24"/>
          <w:szCs w:val="24"/>
          <w:lang w:eastAsia="zh-CN"/>
        </w:rPr>
        <w:t>递交</w:t>
      </w:r>
      <w:r>
        <w:rPr>
          <w:rFonts w:hint="eastAsia" w:ascii="宋体" w:hAnsi="宋体" w:eastAsia="宋体" w:cs="宋体"/>
          <w:sz w:val="24"/>
          <w:szCs w:val="24"/>
          <w:lang w:eastAsia="zh-CN"/>
        </w:rPr>
        <w:t>）</w:t>
      </w:r>
    </w:p>
    <w:p w14:paraId="5B35D301">
      <w:pPr>
        <w:spacing w:line="24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递交地址：</w:t>
      </w:r>
      <w:r>
        <w:rPr>
          <w:rFonts w:hint="eastAsia" w:ascii="宋体" w:hAnsi="宋体" w:eastAsia="宋体" w:cs="宋体"/>
          <w:sz w:val="24"/>
          <w:szCs w:val="24"/>
          <w:lang w:val="en-US" w:eastAsia="zh-CN"/>
        </w:rPr>
        <w:t>成都市金牛区西安路枣子巷26号</w:t>
      </w:r>
    </w:p>
    <w:p w14:paraId="3B6E2731">
      <w:pPr>
        <w:spacing w:line="24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4.</w:t>
      </w:r>
      <w:r>
        <w:rPr>
          <w:rFonts w:hint="eastAsia" w:ascii="宋体" w:hAnsi="宋体" w:eastAsia="宋体" w:cs="宋体"/>
          <w:sz w:val="24"/>
          <w:szCs w:val="24"/>
          <w:lang w:eastAsia="zh-CN"/>
        </w:rPr>
        <w:t>联系人：</w:t>
      </w:r>
      <w:r>
        <w:rPr>
          <w:rFonts w:hint="eastAsia" w:ascii="宋体" w:hAnsi="宋体" w:eastAsia="宋体" w:cs="宋体"/>
          <w:sz w:val="24"/>
          <w:szCs w:val="24"/>
          <w:lang w:val="en-US" w:eastAsia="zh-CN"/>
        </w:rPr>
        <w:t>姚老师</w:t>
      </w:r>
    </w:p>
    <w:p w14:paraId="7209900E">
      <w:pPr>
        <w:spacing w:line="240" w:lineRule="auto"/>
        <w:ind w:firstLine="720" w:firstLineChars="300"/>
        <w:rPr>
          <w:rFonts w:hint="eastAsia" w:ascii="宋体" w:hAnsi="宋体" w:eastAsia="宋体" w:cs="宋体"/>
          <w:sz w:val="24"/>
          <w:szCs w:val="24"/>
          <w:lang w:eastAsia="zh-CN"/>
        </w:rPr>
      </w:pPr>
      <w:r>
        <w:rPr>
          <w:rFonts w:hint="eastAsia" w:ascii="宋体" w:hAnsi="宋体" w:eastAsia="宋体" w:cs="宋体"/>
          <w:sz w:val="24"/>
          <w:szCs w:val="24"/>
          <w:lang w:eastAsia="zh-CN"/>
        </w:rPr>
        <w:t>联系方法：1</w:t>
      </w:r>
      <w:r>
        <w:rPr>
          <w:rFonts w:hint="eastAsia" w:ascii="宋体" w:hAnsi="宋体" w:eastAsia="宋体" w:cs="宋体"/>
          <w:sz w:val="24"/>
          <w:szCs w:val="24"/>
          <w:lang w:val="en-US" w:eastAsia="zh-CN"/>
        </w:rPr>
        <w:t>3980907626</w:t>
      </w:r>
    </w:p>
    <w:p w14:paraId="5C415DE7">
      <w:pPr>
        <w:pStyle w:val="14"/>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480" w:firstLineChars="200"/>
        <w:jc w:val="right"/>
        <w:textAlignment w:val="auto"/>
        <w:rPr>
          <w:rFonts w:hint="eastAsia" w:ascii="宋体" w:hAnsi="宋体" w:eastAsia="宋体" w:cs="宋体"/>
          <w:sz w:val="24"/>
          <w:szCs w:val="24"/>
          <w:lang w:eastAsia="zh-CN"/>
        </w:rPr>
      </w:pPr>
    </w:p>
    <w:p w14:paraId="5F1D648D">
      <w:pPr>
        <w:pStyle w:val="14"/>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480" w:firstLineChars="200"/>
        <w:jc w:val="right"/>
        <w:textAlignment w:val="auto"/>
        <w:rPr>
          <w:rFonts w:hint="eastAsia" w:cs="宋体"/>
          <w:sz w:val="24"/>
          <w:szCs w:val="24"/>
          <w:lang w:val="en-US" w:eastAsia="zh-CN"/>
        </w:rPr>
      </w:pPr>
      <w:r>
        <w:rPr>
          <w:rFonts w:hint="eastAsia" w:cs="宋体"/>
          <w:sz w:val="24"/>
          <w:szCs w:val="24"/>
          <w:lang w:val="en-US" w:eastAsia="zh-CN"/>
        </w:rPr>
        <w:t>四川省成都市财贸职业高级中学校</w:t>
      </w:r>
    </w:p>
    <w:p w14:paraId="4A1EBA52">
      <w:pPr>
        <w:pStyle w:val="14"/>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480" w:firstLineChars="200"/>
        <w:jc w:val="right"/>
        <w:textAlignment w:val="auto"/>
        <w:rPr>
          <w:rFonts w:hint="eastAsia" w:ascii="宋体" w:hAnsi="宋体" w:eastAsia="宋体" w:cs="宋体"/>
          <w:sz w:val="28"/>
          <w:szCs w:val="28"/>
        </w:rPr>
      </w:pPr>
      <w:r>
        <w:rPr>
          <w:rFonts w:hint="eastAsia" w:ascii="宋体" w:hAnsi="宋体" w:eastAsia="宋体" w:cs="宋体"/>
          <w:sz w:val="24"/>
          <w:szCs w:val="24"/>
          <w:lang w:eastAsia="zh-CN"/>
        </w:rPr>
        <w:t>202</w:t>
      </w:r>
      <w:r>
        <w:rPr>
          <w:rFonts w:hint="eastAsia" w:cs="宋体"/>
          <w:sz w:val="24"/>
          <w:szCs w:val="24"/>
          <w:lang w:val="en-US" w:eastAsia="zh-CN"/>
        </w:rPr>
        <w:t>5</w:t>
      </w:r>
      <w:r>
        <w:rPr>
          <w:rFonts w:hint="eastAsia" w:ascii="宋体" w:hAnsi="宋体" w:eastAsia="宋体" w:cs="宋体"/>
          <w:sz w:val="24"/>
          <w:szCs w:val="24"/>
          <w:lang w:eastAsia="zh-CN"/>
        </w:rPr>
        <w:t>年</w:t>
      </w:r>
      <w:r>
        <w:rPr>
          <w:rFonts w:hint="eastAsia" w:cs="宋体"/>
          <w:sz w:val="24"/>
          <w:szCs w:val="24"/>
          <w:lang w:val="en-US" w:eastAsia="zh-CN"/>
        </w:rPr>
        <w:t>08</w:t>
      </w:r>
      <w:r>
        <w:rPr>
          <w:rFonts w:hint="eastAsia" w:ascii="宋体" w:hAnsi="宋体" w:eastAsia="宋体" w:cs="宋体"/>
          <w:sz w:val="24"/>
          <w:szCs w:val="24"/>
          <w:lang w:eastAsia="zh-CN"/>
        </w:rPr>
        <w:t>月</w:t>
      </w:r>
      <w:r>
        <w:rPr>
          <w:rFonts w:hint="eastAsia" w:cs="宋体"/>
          <w:sz w:val="24"/>
          <w:szCs w:val="24"/>
          <w:lang w:val="en-US" w:eastAsia="zh-CN"/>
        </w:rPr>
        <w:t>20</w:t>
      </w:r>
      <w:r>
        <w:rPr>
          <w:rFonts w:hint="eastAsia" w:ascii="宋体" w:hAnsi="宋体" w:eastAsia="宋体" w:cs="宋体"/>
          <w:sz w:val="24"/>
          <w:szCs w:val="24"/>
          <w:lang w:eastAsia="zh-CN"/>
        </w:rPr>
        <w:t>日</w:t>
      </w:r>
    </w:p>
    <w:p w14:paraId="25756726">
      <w:pPr>
        <w:rPr>
          <w:rFonts w:hint="eastAsia" w:ascii="宋体" w:hAnsi="宋体" w:eastAsia="宋体" w:cs="宋体"/>
          <w:kern w:val="2"/>
          <w:sz w:val="28"/>
          <w:szCs w:val="28"/>
        </w:rPr>
      </w:pPr>
      <w:r>
        <w:rPr>
          <w:rFonts w:hint="eastAsia" w:ascii="宋体" w:hAnsi="宋体" w:eastAsia="宋体" w:cs="宋体"/>
          <w:kern w:val="2"/>
          <w:sz w:val="28"/>
          <w:szCs w:val="28"/>
        </w:rPr>
        <w:br w:type="page"/>
      </w:r>
    </w:p>
    <w:p w14:paraId="0FA2D7CC">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kern w:val="2"/>
          <w:sz w:val="28"/>
          <w:szCs w:val="28"/>
        </w:rPr>
      </w:pPr>
      <w:r>
        <w:rPr>
          <w:rFonts w:hint="eastAsia" w:ascii="宋体" w:hAnsi="宋体" w:eastAsia="宋体" w:cs="宋体"/>
          <w:kern w:val="2"/>
          <w:sz w:val="28"/>
          <w:szCs w:val="28"/>
        </w:rPr>
        <w:t>附件1：</w:t>
      </w:r>
    </w:p>
    <w:p w14:paraId="1F31702E">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b/>
          <w:sz w:val="44"/>
          <w:szCs w:val="44"/>
        </w:rPr>
      </w:pPr>
      <w:r>
        <w:rPr>
          <w:rFonts w:hint="eastAsia" w:ascii="宋体" w:hAnsi="宋体" w:eastAsia="宋体" w:cs="宋体"/>
          <w:b/>
          <w:kern w:val="2"/>
          <w:sz w:val="44"/>
          <w:szCs w:val="44"/>
        </w:rPr>
        <w:t>报价函</w:t>
      </w:r>
    </w:p>
    <w:p w14:paraId="664DF37C">
      <w:pPr>
        <w:keepNext w:val="0"/>
        <w:keepLines w:val="0"/>
        <w:pageBreakBefore w:val="0"/>
        <w:widowControl/>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kern w:val="2"/>
          <w:sz w:val="28"/>
          <w:szCs w:val="28"/>
        </w:rPr>
      </w:pPr>
      <w:r>
        <w:rPr>
          <w:rFonts w:hint="eastAsia" w:ascii="宋体" w:hAnsi="宋体" w:eastAsia="宋体" w:cs="宋体"/>
          <w:kern w:val="2"/>
          <w:sz w:val="28"/>
          <w:szCs w:val="28"/>
          <w:u w:val="single"/>
        </w:rPr>
        <w:t xml:space="preserve">                        </w:t>
      </w:r>
      <w:r>
        <w:rPr>
          <w:rFonts w:hint="eastAsia" w:ascii="宋体" w:hAnsi="宋体" w:eastAsia="宋体" w:cs="宋体"/>
          <w:kern w:val="2"/>
          <w:sz w:val="28"/>
          <w:szCs w:val="28"/>
        </w:rPr>
        <w:t>（以下简称“我方”）已全面阅读和研究了</w:t>
      </w:r>
      <w:r>
        <w:rPr>
          <w:rFonts w:hint="eastAsia" w:ascii="宋体" w:hAnsi="宋体" w:eastAsia="宋体" w:cs="宋体"/>
          <w:kern w:val="2"/>
          <w:sz w:val="28"/>
          <w:szCs w:val="28"/>
          <w:u w:val="single"/>
          <w:lang w:eastAsia="zh-CN"/>
        </w:rPr>
        <w:t>财贸职高新校区（职教园区）智慧黑板及电子班牌设备采购</w:t>
      </w:r>
      <w:r>
        <w:rPr>
          <w:rFonts w:hint="eastAsia" w:ascii="宋体" w:hAnsi="宋体" w:eastAsia="宋体" w:cs="宋体"/>
          <w:kern w:val="2"/>
          <w:sz w:val="28"/>
          <w:szCs w:val="28"/>
        </w:rPr>
        <w:t>项目</w:t>
      </w:r>
      <w:r>
        <w:rPr>
          <w:rFonts w:hint="eastAsia" w:ascii="宋体" w:hAnsi="宋体" w:eastAsia="宋体" w:cs="宋体"/>
          <w:color w:val="000000" w:themeColor="text1"/>
          <w:kern w:val="2"/>
          <w:sz w:val="28"/>
          <w:szCs w:val="28"/>
          <w14:textFill>
            <w14:solidFill>
              <w14:schemeClr w14:val="tx1"/>
            </w14:solidFill>
          </w14:textFill>
        </w:rPr>
        <w:t>的</w:t>
      </w:r>
      <w:r>
        <w:rPr>
          <w:rFonts w:hint="eastAsia" w:ascii="宋体" w:hAnsi="宋体" w:eastAsia="宋体" w:cs="宋体"/>
          <w:kern w:val="2"/>
          <w:sz w:val="28"/>
          <w:szCs w:val="28"/>
          <w:lang w:eastAsia="zh-CN"/>
        </w:rPr>
        <w:t>市场询价</w:t>
      </w:r>
      <w:r>
        <w:rPr>
          <w:rFonts w:hint="eastAsia" w:ascii="宋体" w:hAnsi="宋体" w:eastAsia="宋体" w:cs="宋体"/>
          <w:kern w:val="2"/>
          <w:sz w:val="28"/>
          <w:szCs w:val="28"/>
        </w:rPr>
        <w:t>函，现经我方认真分析研究，</w:t>
      </w:r>
      <w:r>
        <w:rPr>
          <w:rFonts w:hint="eastAsia" w:ascii="宋体" w:hAnsi="宋体" w:eastAsia="宋体" w:cs="宋体"/>
          <w:kern w:val="2"/>
          <w:sz w:val="28"/>
          <w:szCs w:val="28"/>
          <w:lang w:eastAsia="zh-CN"/>
        </w:rPr>
        <w:t>我方</w:t>
      </w:r>
      <w:r>
        <w:rPr>
          <w:rFonts w:hint="eastAsia" w:ascii="宋体" w:hAnsi="宋体" w:eastAsia="宋体" w:cs="宋体"/>
          <w:kern w:val="2"/>
          <w:sz w:val="28"/>
          <w:szCs w:val="28"/>
        </w:rPr>
        <w:t>同意</w:t>
      </w:r>
      <w:r>
        <w:rPr>
          <w:rFonts w:hint="eastAsia" w:ascii="宋体" w:hAnsi="宋体" w:eastAsia="宋体" w:cs="宋体"/>
          <w:kern w:val="2"/>
          <w:sz w:val="28"/>
          <w:szCs w:val="28"/>
          <w:lang w:eastAsia="zh-CN"/>
        </w:rPr>
        <w:t>提供相关设备报价</w:t>
      </w:r>
      <w:r>
        <w:rPr>
          <w:rFonts w:hint="eastAsia" w:ascii="宋体" w:hAnsi="宋体" w:eastAsia="宋体" w:cs="宋体"/>
          <w:kern w:val="2"/>
          <w:sz w:val="28"/>
          <w:szCs w:val="28"/>
        </w:rPr>
        <w:t>，以</w:t>
      </w:r>
      <w:r>
        <w:rPr>
          <w:rFonts w:hint="eastAsia" w:ascii="宋体" w:hAnsi="宋体" w:eastAsia="宋体" w:cs="宋体"/>
          <w:kern w:val="2"/>
          <w:sz w:val="28"/>
          <w:szCs w:val="28"/>
          <w:lang w:eastAsia="zh-CN"/>
        </w:rPr>
        <w:t>询价函</w:t>
      </w:r>
      <w:r>
        <w:rPr>
          <w:rFonts w:hint="eastAsia" w:ascii="宋体" w:hAnsi="宋体" w:eastAsia="宋体" w:cs="宋体"/>
          <w:kern w:val="2"/>
          <w:sz w:val="28"/>
          <w:szCs w:val="28"/>
        </w:rPr>
        <w:t>要求全部内容进行报价</w:t>
      </w:r>
      <w:r>
        <w:rPr>
          <w:rFonts w:hint="eastAsia" w:ascii="宋体" w:hAnsi="宋体" w:eastAsia="宋体" w:cs="宋体"/>
          <w:kern w:val="2"/>
          <w:sz w:val="28"/>
          <w:szCs w:val="28"/>
          <w:lang w:eastAsia="zh-CN"/>
        </w:rPr>
        <w:t>，并保证相关报价的真实性</w:t>
      </w:r>
      <w:r>
        <w:rPr>
          <w:rFonts w:hint="eastAsia" w:ascii="宋体" w:hAnsi="宋体" w:eastAsia="宋体" w:cs="宋体"/>
          <w:kern w:val="2"/>
          <w:sz w:val="28"/>
          <w:szCs w:val="28"/>
        </w:rPr>
        <w:t>。我</w:t>
      </w:r>
      <w:r>
        <w:rPr>
          <w:rFonts w:hint="eastAsia" w:ascii="宋体" w:hAnsi="宋体" w:eastAsia="宋体" w:cs="宋体"/>
          <w:kern w:val="2"/>
          <w:sz w:val="28"/>
          <w:szCs w:val="28"/>
          <w:lang w:eastAsia="zh-CN"/>
        </w:rPr>
        <w:t>单位的</w:t>
      </w:r>
      <w:r>
        <w:rPr>
          <w:rFonts w:hint="eastAsia" w:ascii="宋体" w:hAnsi="宋体" w:eastAsia="宋体" w:cs="宋体"/>
          <w:kern w:val="2"/>
          <w:sz w:val="28"/>
          <w:szCs w:val="28"/>
        </w:rPr>
        <w:t>报价含</w:t>
      </w:r>
      <w:r>
        <w:rPr>
          <w:rFonts w:hint="eastAsia" w:ascii="宋体" w:hAnsi="宋体" w:eastAsia="宋体" w:cs="宋体"/>
          <w:b/>
          <w:bCs/>
          <w:kern w:val="2"/>
          <w:sz w:val="28"/>
          <w:szCs w:val="28"/>
          <w:u w:val="single"/>
          <w:lang w:eastAsia="zh-CN"/>
        </w:rPr>
        <w:t>设备费用</w:t>
      </w:r>
      <w:r>
        <w:rPr>
          <w:rFonts w:hint="eastAsia" w:ascii="宋体" w:hAnsi="宋体" w:eastAsia="宋体" w:cs="宋体"/>
          <w:b/>
          <w:bCs/>
          <w:kern w:val="2"/>
          <w:sz w:val="28"/>
          <w:szCs w:val="28"/>
          <w:u w:val="single"/>
        </w:rPr>
        <w:t>、</w:t>
      </w:r>
      <w:r>
        <w:rPr>
          <w:rFonts w:hint="eastAsia" w:ascii="宋体" w:hAnsi="宋体" w:eastAsia="宋体" w:cs="宋体"/>
          <w:b/>
          <w:bCs/>
          <w:kern w:val="2"/>
          <w:sz w:val="28"/>
          <w:szCs w:val="28"/>
          <w:u w:val="single"/>
          <w:lang w:val="en-US" w:eastAsia="zh-CN"/>
        </w:rPr>
        <w:t>运输费、装卸费、增值税费、培训、质保、售后服务</w:t>
      </w:r>
      <w:r>
        <w:rPr>
          <w:rFonts w:hint="eastAsia" w:ascii="宋体" w:hAnsi="宋体" w:eastAsia="宋体" w:cs="宋体"/>
          <w:kern w:val="2"/>
          <w:sz w:val="28"/>
          <w:szCs w:val="28"/>
        </w:rPr>
        <w:t>等与项目有关的一切费用。</w:t>
      </w:r>
    </w:p>
    <w:p w14:paraId="27C13846">
      <w:pPr>
        <w:keepNext w:val="0"/>
        <w:keepLines w:val="0"/>
        <w:pageBreakBefore w:val="0"/>
        <w:widowControl/>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kern w:val="2"/>
          <w:sz w:val="28"/>
          <w:szCs w:val="28"/>
          <w:lang w:val="en-US" w:eastAsia="zh-CN"/>
        </w:rPr>
      </w:pPr>
      <w:r>
        <w:rPr>
          <w:rFonts w:hint="eastAsia" w:ascii="宋体" w:hAnsi="宋体" w:eastAsia="宋体" w:cs="宋体"/>
          <w:kern w:val="2"/>
          <w:sz w:val="28"/>
          <w:szCs w:val="28"/>
          <w:lang w:eastAsia="zh-CN"/>
        </w:rPr>
        <w:t>具体报价详见附件</w:t>
      </w:r>
      <w:r>
        <w:rPr>
          <w:rFonts w:hint="eastAsia" w:ascii="宋体" w:hAnsi="宋体" w:eastAsia="宋体" w:cs="宋体"/>
          <w:kern w:val="2"/>
          <w:sz w:val="28"/>
          <w:szCs w:val="28"/>
          <w:lang w:val="en-US" w:eastAsia="zh-CN"/>
        </w:rPr>
        <w:t>2</w:t>
      </w:r>
    </w:p>
    <w:p w14:paraId="2CA6CEC3">
      <w:pPr>
        <w:spacing w:line="420" w:lineRule="exact"/>
        <w:ind w:firstLine="480"/>
        <w:rPr>
          <w:rFonts w:hint="eastAsia" w:ascii="宋体" w:hAnsi="宋体" w:eastAsia="宋体" w:cs="宋体"/>
          <w:sz w:val="28"/>
          <w:szCs w:val="28"/>
        </w:rPr>
      </w:pPr>
    </w:p>
    <w:p w14:paraId="4E2893D6">
      <w:pPr>
        <w:spacing w:line="420" w:lineRule="exact"/>
        <w:ind w:firstLine="480"/>
        <w:rPr>
          <w:rFonts w:hint="eastAsia" w:ascii="宋体" w:hAnsi="宋体" w:eastAsia="宋体" w:cs="宋体"/>
          <w:sz w:val="28"/>
          <w:szCs w:val="28"/>
        </w:rPr>
      </w:pPr>
    </w:p>
    <w:p w14:paraId="01C256B7">
      <w:pPr>
        <w:spacing w:line="420" w:lineRule="exact"/>
        <w:ind w:firstLine="420"/>
        <w:rPr>
          <w:rFonts w:hint="eastAsia" w:ascii="宋体" w:hAnsi="宋体" w:eastAsia="宋体" w:cs="宋体"/>
          <w:kern w:val="2"/>
          <w:sz w:val="28"/>
          <w:szCs w:val="28"/>
        </w:rPr>
      </w:pPr>
      <w:r>
        <w:rPr>
          <w:rFonts w:hint="eastAsia" w:ascii="宋体" w:hAnsi="宋体" w:eastAsia="宋体" w:cs="宋体"/>
          <w:kern w:val="2"/>
          <w:sz w:val="28"/>
          <w:szCs w:val="28"/>
        </w:rPr>
        <w:t>报 价 方：</w:t>
      </w:r>
      <w:r>
        <w:rPr>
          <w:rFonts w:hint="eastAsia" w:ascii="宋体" w:hAnsi="宋体" w:eastAsia="宋体" w:cs="宋体"/>
          <w:kern w:val="2"/>
          <w:sz w:val="28"/>
          <w:szCs w:val="28"/>
          <w:u w:val="single"/>
        </w:rPr>
        <w:t xml:space="preserve">                            </w:t>
      </w:r>
      <w:r>
        <w:rPr>
          <w:rFonts w:hint="eastAsia" w:ascii="宋体" w:hAnsi="宋体" w:eastAsia="宋体" w:cs="宋体"/>
          <w:kern w:val="2"/>
          <w:sz w:val="28"/>
          <w:szCs w:val="28"/>
          <w:u w:val="single"/>
          <w:lang w:val="en-US" w:eastAsia="zh-CN"/>
        </w:rPr>
        <w:t xml:space="preserve"> </w:t>
      </w:r>
      <w:r>
        <w:rPr>
          <w:rFonts w:hint="eastAsia" w:ascii="宋体" w:hAnsi="宋体" w:eastAsia="宋体" w:cs="宋体"/>
          <w:kern w:val="2"/>
          <w:sz w:val="28"/>
          <w:szCs w:val="28"/>
        </w:rPr>
        <w:t>（全称、盖章）</w:t>
      </w:r>
    </w:p>
    <w:p w14:paraId="66176239">
      <w:pPr>
        <w:spacing w:line="420" w:lineRule="exact"/>
        <w:ind w:firstLine="420"/>
        <w:rPr>
          <w:rFonts w:hint="eastAsia" w:ascii="宋体" w:hAnsi="宋体" w:eastAsia="宋体" w:cs="宋体"/>
          <w:sz w:val="28"/>
          <w:szCs w:val="28"/>
        </w:rPr>
      </w:pPr>
      <w:r>
        <w:rPr>
          <w:rFonts w:hint="eastAsia" w:ascii="宋体" w:hAnsi="宋体" w:eastAsia="宋体" w:cs="宋体"/>
          <w:kern w:val="2"/>
          <w:sz w:val="28"/>
          <w:szCs w:val="28"/>
        </w:rPr>
        <w:t>法定代表人(或负责人)：</w:t>
      </w:r>
      <w:r>
        <w:rPr>
          <w:rFonts w:hint="eastAsia" w:ascii="宋体" w:hAnsi="宋体" w:eastAsia="宋体" w:cs="宋体"/>
          <w:kern w:val="2"/>
          <w:sz w:val="28"/>
          <w:szCs w:val="28"/>
          <w:u w:val="single"/>
        </w:rPr>
        <w:t xml:space="preserve">                  </w:t>
      </w:r>
      <w:r>
        <w:rPr>
          <w:rFonts w:hint="eastAsia" w:ascii="宋体" w:hAnsi="宋体" w:eastAsia="宋体" w:cs="宋体"/>
          <w:kern w:val="2"/>
          <w:sz w:val="28"/>
          <w:szCs w:val="28"/>
        </w:rPr>
        <w:t>（姓名、签字）</w:t>
      </w:r>
    </w:p>
    <w:p w14:paraId="69FA27F9">
      <w:pPr>
        <w:suppressAutoHyphens/>
        <w:spacing w:line="420" w:lineRule="exact"/>
        <w:ind w:firstLine="420"/>
        <w:rPr>
          <w:rFonts w:hint="eastAsia" w:ascii="宋体" w:hAnsi="宋体" w:eastAsia="宋体" w:cs="宋体"/>
          <w:color w:val="FFFFFF" w:themeColor="background1"/>
          <w:sz w:val="28"/>
          <w:szCs w:val="28"/>
          <w:u w:val="single"/>
          <w14:textFill>
            <w14:solidFill>
              <w14:schemeClr w14:val="bg1"/>
            </w14:solidFill>
          </w14:textFill>
        </w:rPr>
      </w:pPr>
      <w:r>
        <w:rPr>
          <w:rFonts w:hint="eastAsia" w:ascii="宋体" w:hAnsi="宋体" w:eastAsia="宋体" w:cs="宋体"/>
          <w:kern w:val="2"/>
          <w:sz w:val="28"/>
          <w:szCs w:val="28"/>
        </w:rPr>
        <w:t>地  址：</w:t>
      </w:r>
      <w:r>
        <w:rPr>
          <w:rFonts w:hint="eastAsia" w:ascii="宋体" w:hAnsi="宋体" w:eastAsia="宋体" w:cs="宋体"/>
          <w:kern w:val="2"/>
          <w:sz w:val="28"/>
          <w:szCs w:val="28"/>
          <w:u w:val="single"/>
        </w:rPr>
        <w:t xml:space="preserve">                            </w:t>
      </w:r>
      <w:r>
        <w:rPr>
          <w:rFonts w:hint="eastAsia" w:ascii="宋体" w:hAnsi="宋体" w:eastAsia="宋体" w:cs="宋体"/>
          <w:kern w:val="2"/>
          <w:sz w:val="28"/>
          <w:szCs w:val="28"/>
          <w:u w:val="single"/>
          <w:lang w:val="en-US" w:eastAsia="zh-CN"/>
        </w:rPr>
        <w:t xml:space="preserve"> </w:t>
      </w:r>
      <w:r>
        <w:rPr>
          <w:rFonts w:hint="eastAsia" w:ascii="宋体" w:hAnsi="宋体" w:eastAsia="宋体" w:cs="宋体"/>
          <w:color w:val="FFFFFF" w:themeColor="background1"/>
          <w:kern w:val="2"/>
          <w:sz w:val="28"/>
          <w:szCs w:val="28"/>
          <w:u w:val="single"/>
          <w14:textFill>
            <w14:solidFill>
              <w14:schemeClr w14:val="bg1"/>
            </w14:solidFill>
          </w14:textFill>
        </w:rPr>
        <w:t>我</w:t>
      </w:r>
    </w:p>
    <w:p w14:paraId="2C58B272">
      <w:pPr>
        <w:suppressAutoHyphens/>
        <w:spacing w:line="420" w:lineRule="exact"/>
        <w:ind w:firstLine="420"/>
        <w:rPr>
          <w:rFonts w:hint="eastAsia" w:ascii="宋体" w:hAnsi="宋体" w:eastAsia="宋体" w:cs="宋体"/>
          <w:sz w:val="28"/>
          <w:szCs w:val="28"/>
          <w:u w:val="single"/>
        </w:rPr>
      </w:pPr>
      <w:r>
        <w:rPr>
          <w:rFonts w:hint="eastAsia" w:ascii="宋体" w:hAnsi="宋体" w:eastAsia="宋体" w:cs="宋体"/>
          <w:kern w:val="2"/>
          <w:sz w:val="28"/>
          <w:szCs w:val="28"/>
        </w:rPr>
        <w:t>电  话：</w:t>
      </w:r>
      <w:r>
        <w:rPr>
          <w:rFonts w:hint="eastAsia" w:ascii="宋体" w:hAnsi="宋体" w:eastAsia="宋体" w:cs="宋体"/>
          <w:kern w:val="2"/>
          <w:sz w:val="24"/>
          <w:szCs w:val="24"/>
        </w:rPr>
        <w:t>__________________________</w:t>
      </w:r>
    </w:p>
    <w:p w14:paraId="1CDBEE84">
      <w:pPr>
        <w:spacing w:line="420" w:lineRule="exact"/>
        <w:ind w:firstLine="420"/>
        <w:rPr>
          <w:rFonts w:hint="eastAsia" w:ascii="宋体" w:hAnsi="宋体" w:eastAsia="宋体" w:cs="宋体"/>
          <w:sz w:val="24"/>
        </w:rPr>
      </w:pPr>
      <w:r>
        <w:rPr>
          <w:rFonts w:hint="eastAsia" w:ascii="宋体" w:hAnsi="宋体" w:eastAsia="宋体" w:cs="宋体"/>
          <w:kern w:val="2"/>
          <w:sz w:val="24"/>
          <w:szCs w:val="24"/>
        </w:rPr>
        <w:t>日  期：____年_____月______日</w:t>
      </w:r>
    </w:p>
    <w:p w14:paraId="245395E8">
      <w:pPr>
        <w:spacing w:line="480" w:lineRule="exact"/>
        <w:rPr>
          <w:rFonts w:hint="eastAsia" w:ascii="宋体" w:hAnsi="宋体" w:eastAsia="宋体" w:cs="宋体"/>
          <w:sz w:val="28"/>
          <w:szCs w:val="28"/>
        </w:rPr>
      </w:pPr>
    </w:p>
    <w:p w14:paraId="23585F28">
      <w:pPr>
        <w:spacing w:line="480" w:lineRule="exact"/>
        <w:rPr>
          <w:rFonts w:hint="eastAsia" w:ascii="宋体" w:hAnsi="宋体" w:eastAsia="宋体" w:cs="宋体"/>
          <w:sz w:val="28"/>
          <w:szCs w:val="28"/>
        </w:rPr>
      </w:pPr>
    </w:p>
    <w:p w14:paraId="18DCDCFB">
      <w:pPr>
        <w:spacing w:line="480" w:lineRule="exact"/>
        <w:rPr>
          <w:rFonts w:hint="eastAsia" w:ascii="宋体" w:hAnsi="宋体" w:eastAsia="宋体" w:cs="宋体"/>
          <w:sz w:val="28"/>
          <w:szCs w:val="28"/>
        </w:rPr>
      </w:pPr>
    </w:p>
    <w:p w14:paraId="7B971822">
      <w:pPr>
        <w:spacing w:line="480" w:lineRule="exact"/>
        <w:rPr>
          <w:rFonts w:hint="eastAsia" w:ascii="宋体" w:hAnsi="宋体" w:eastAsia="宋体" w:cs="宋体"/>
          <w:sz w:val="28"/>
          <w:szCs w:val="28"/>
        </w:rPr>
      </w:pPr>
    </w:p>
    <w:p w14:paraId="4A67757C">
      <w:pPr>
        <w:rPr>
          <w:rFonts w:hint="eastAsia" w:ascii="宋体" w:hAnsi="宋体" w:eastAsia="宋体" w:cs="宋体"/>
          <w:sz w:val="28"/>
          <w:szCs w:val="28"/>
        </w:rPr>
        <w:sectPr>
          <w:footerReference r:id="rId5" w:type="default"/>
          <w:pgSz w:w="11906" w:h="16838"/>
          <w:pgMar w:top="1440" w:right="1440" w:bottom="1440" w:left="1440" w:header="708" w:footer="709" w:gutter="0"/>
          <w:pgNumType w:fmt="numberInDash" w:start="1"/>
          <w:cols w:space="0" w:num="1"/>
          <w:rtlGutter w:val="0"/>
          <w:docGrid w:linePitch="360" w:charSpace="0"/>
        </w:sectPr>
      </w:pPr>
      <w:r>
        <w:rPr>
          <w:rFonts w:hint="eastAsia" w:ascii="宋体" w:hAnsi="宋体" w:eastAsia="宋体" w:cs="宋体"/>
          <w:sz w:val="28"/>
          <w:szCs w:val="28"/>
        </w:rPr>
        <w:br w:type="page"/>
      </w:r>
    </w:p>
    <w:p w14:paraId="32EC95EC">
      <w:pPr>
        <w:spacing w:line="480" w:lineRule="exact"/>
        <w:rPr>
          <w:rFonts w:hint="eastAsia" w:ascii="宋体" w:hAnsi="宋体" w:eastAsia="宋体" w:cs="宋体"/>
          <w:sz w:val="44"/>
          <w:szCs w:val="44"/>
          <w:lang w:eastAsia="zh-CN"/>
        </w:rPr>
      </w:pPr>
      <w:r>
        <w:rPr>
          <w:rFonts w:hint="eastAsia" w:ascii="宋体" w:hAnsi="宋体" w:eastAsia="宋体" w:cs="宋体"/>
          <w:sz w:val="28"/>
          <w:szCs w:val="28"/>
        </w:rPr>
        <w:t>附件2：</w:t>
      </w:r>
      <w:r>
        <w:rPr>
          <w:rFonts w:hint="eastAsia" w:ascii="宋体" w:hAnsi="宋体" w:eastAsia="宋体" w:cs="宋体"/>
          <w:sz w:val="28"/>
          <w:szCs w:val="28"/>
          <w:lang w:val="en-US" w:eastAsia="zh-CN"/>
        </w:rPr>
        <w:t xml:space="preserve">                                      </w:t>
      </w:r>
      <w:r>
        <w:rPr>
          <w:rFonts w:hint="eastAsia" w:ascii="宋体" w:hAnsi="宋体" w:eastAsia="宋体" w:cs="宋体"/>
          <w:sz w:val="44"/>
          <w:szCs w:val="44"/>
          <w:lang w:eastAsia="zh-CN"/>
        </w:rPr>
        <w:t>清单报价表</w:t>
      </w:r>
    </w:p>
    <w:tbl>
      <w:tblPr>
        <w:tblStyle w:val="9"/>
        <w:tblpPr w:leftFromText="180" w:rightFromText="180" w:vertAnchor="text" w:horzAnchor="page" w:tblpX="1426" w:tblpY="681"/>
        <w:tblOverlap w:val="never"/>
        <w:tblW w:w="486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4"/>
        <w:gridCol w:w="1183"/>
        <w:gridCol w:w="6289"/>
        <w:gridCol w:w="775"/>
        <w:gridCol w:w="787"/>
        <w:gridCol w:w="750"/>
        <w:gridCol w:w="813"/>
        <w:gridCol w:w="862"/>
        <w:gridCol w:w="850"/>
        <w:gridCol w:w="788"/>
      </w:tblGrid>
      <w:tr w14:paraId="519D61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2" w:hRule="atLeast"/>
        </w:trPr>
        <w:tc>
          <w:tcPr>
            <w:tcW w:w="5000" w:type="pct"/>
            <w:gridSpan w:val="10"/>
            <w:tcBorders>
              <w:top w:val="nil"/>
              <w:left w:val="nil"/>
              <w:bottom w:val="nil"/>
              <w:right w:val="nil"/>
            </w:tcBorders>
            <w:shd w:val="clear" w:color="auto" w:fill="auto"/>
            <w:noWrap/>
            <w:vAlign w:val="center"/>
          </w:tcPr>
          <w:p w14:paraId="63274BB9">
            <w:pPr>
              <w:keepNext w:val="0"/>
              <w:keepLines w:val="0"/>
              <w:pageBreakBefore w:val="0"/>
              <w:widowControl/>
              <w:suppressLineNumbers w:val="0"/>
              <w:kinsoku/>
              <w:wordWrap/>
              <w:overflowPunct/>
              <w:topLinePunct w:val="0"/>
              <w:autoSpaceDE/>
              <w:autoSpaceDN/>
              <w:bidi w:val="0"/>
              <w:spacing w:after="0" w:line="240" w:lineRule="atLeast"/>
              <w:jc w:val="center"/>
              <w:textAlignment w:val="center"/>
              <w:rPr>
                <w:rFonts w:hint="eastAsia" w:ascii="宋体" w:hAnsi="宋体" w:eastAsia="宋体" w:cs="宋体"/>
                <w:b/>
                <w:bCs/>
                <w:i w:val="0"/>
                <w:iCs w:val="0"/>
                <w:color w:val="000000" w:themeColor="text1"/>
                <w:sz w:val="24"/>
                <w:szCs w:val="24"/>
                <w:u w:val="none"/>
                <w:lang w:val="en-US"/>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智慧黑板及电子班牌设备</w:t>
            </w:r>
          </w:p>
        </w:tc>
      </w:tr>
      <w:tr w14:paraId="1BD874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2" w:hRule="atLeast"/>
        </w:trPr>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0F416E">
            <w:pPr>
              <w:keepNext w:val="0"/>
              <w:keepLines w:val="0"/>
              <w:pageBreakBefore w:val="0"/>
              <w:widowControl/>
              <w:suppressLineNumbers w:val="0"/>
              <w:kinsoku/>
              <w:wordWrap/>
              <w:overflowPunct/>
              <w:topLinePunct w:val="0"/>
              <w:autoSpaceDE/>
              <w:autoSpaceDN/>
              <w:bidi w:val="0"/>
              <w:spacing w:after="0" w:line="240" w:lineRule="atLeast"/>
              <w:jc w:val="center"/>
              <w:textAlignment w:val="center"/>
              <w:rPr>
                <w:rFonts w:hint="eastAsia" w:ascii="宋体" w:hAnsi="宋体" w:eastAsia="宋体" w:cs="宋体"/>
                <w:b/>
                <w:bCs/>
                <w:i w:val="0"/>
                <w:iCs w:val="0"/>
                <w:color w:val="000000" w:themeColor="text1"/>
                <w:sz w:val="24"/>
                <w:szCs w:val="24"/>
                <w:u w:val="none"/>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编号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CC654E">
            <w:pPr>
              <w:keepNext w:val="0"/>
              <w:keepLines w:val="0"/>
              <w:pageBreakBefore w:val="0"/>
              <w:widowControl/>
              <w:suppressLineNumbers w:val="0"/>
              <w:kinsoku/>
              <w:wordWrap/>
              <w:overflowPunct/>
              <w:topLinePunct w:val="0"/>
              <w:autoSpaceDE/>
              <w:autoSpaceDN/>
              <w:bidi w:val="0"/>
              <w:spacing w:after="0" w:line="240" w:lineRule="atLeast"/>
              <w:jc w:val="center"/>
              <w:textAlignment w:val="center"/>
              <w:rPr>
                <w:rFonts w:hint="eastAsia" w:ascii="宋体" w:hAnsi="宋体" w:eastAsia="宋体" w:cs="宋体"/>
                <w:b/>
                <w:bCs/>
                <w:i w:val="0"/>
                <w:iCs w:val="0"/>
                <w:color w:val="000000" w:themeColor="text1"/>
                <w:sz w:val="24"/>
                <w:szCs w:val="24"/>
                <w:u w:val="none"/>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设备名称</w:t>
            </w:r>
          </w:p>
        </w:tc>
        <w:tc>
          <w:tcPr>
            <w:tcW w:w="2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FBD78A">
            <w:pPr>
              <w:keepNext w:val="0"/>
              <w:keepLines w:val="0"/>
              <w:pageBreakBefore w:val="0"/>
              <w:widowControl/>
              <w:kinsoku/>
              <w:wordWrap/>
              <w:overflowPunct/>
              <w:topLinePunct w:val="0"/>
              <w:autoSpaceDE/>
              <w:autoSpaceDN/>
              <w:bidi w:val="0"/>
              <w:adjustRightInd/>
              <w:snapToGrid/>
              <w:spacing w:after="0" w:line="240" w:lineRule="atLeast"/>
              <w:ind w:firstLine="0" w:firstLineChars="0"/>
              <w:jc w:val="center"/>
              <w:rPr>
                <w:rFonts w:hint="eastAsia" w:ascii="宋体" w:hAnsi="宋体" w:eastAsia="宋体" w:cs="宋体"/>
                <w:b/>
                <w:bCs/>
                <w:i w:val="0"/>
                <w:iCs w:val="0"/>
                <w:color w:val="000000" w:themeColor="text1"/>
                <w:sz w:val="24"/>
                <w:szCs w:val="24"/>
                <w:u w:val="none"/>
                <w14:textFill>
                  <w14:solidFill>
                    <w14:schemeClr w14:val="tx1"/>
                  </w14:solidFill>
                </w14:textFill>
              </w:rPr>
            </w:pPr>
            <w:r>
              <w:rPr>
                <w:rFonts w:hint="eastAsia" w:ascii="宋体" w:hAnsi="宋体" w:eastAsia="宋体" w:cs="宋体"/>
                <w:b/>
                <w:bCs/>
                <w:kern w:val="0"/>
                <w:sz w:val="24"/>
                <w:szCs w:val="24"/>
                <w:lang w:val="en-US" w:eastAsia="zh-CN"/>
              </w:rPr>
              <w:t>主要性能指标（</w:t>
            </w:r>
            <w:r>
              <w:rPr>
                <w:rFonts w:hint="eastAsia" w:ascii="宋体" w:hAnsi="宋体" w:eastAsia="宋体" w:cs="宋体"/>
                <w:b/>
                <w:bCs/>
                <w:kern w:val="0"/>
                <w:sz w:val="24"/>
                <w:szCs w:val="24"/>
              </w:rPr>
              <w:t>技术参数）</w:t>
            </w:r>
          </w:p>
        </w:tc>
        <w:tc>
          <w:tcPr>
            <w:tcW w:w="2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F4DFE9">
            <w:pPr>
              <w:keepNext w:val="0"/>
              <w:keepLines w:val="0"/>
              <w:pageBreakBefore w:val="0"/>
              <w:widowControl/>
              <w:suppressLineNumbers w:val="0"/>
              <w:kinsoku/>
              <w:wordWrap/>
              <w:overflowPunct/>
              <w:topLinePunct w:val="0"/>
              <w:autoSpaceDE/>
              <w:autoSpaceDN/>
              <w:bidi w:val="0"/>
              <w:spacing w:after="0" w:line="240" w:lineRule="atLeast"/>
              <w:jc w:val="center"/>
              <w:textAlignment w:val="center"/>
              <w:rPr>
                <w:rFonts w:hint="eastAsia" w:ascii="宋体" w:hAnsi="宋体" w:eastAsia="宋体" w:cs="宋体"/>
                <w:b/>
                <w:bCs/>
                <w:i w:val="0"/>
                <w:iCs w:val="0"/>
                <w:color w:val="000000" w:themeColor="text1"/>
                <w:sz w:val="24"/>
                <w:szCs w:val="24"/>
                <w:u w:val="none"/>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单位</w:t>
            </w:r>
          </w:p>
        </w:tc>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DE562A">
            <w:pPr>
              <w:keepNext w:val="0"/>
              <w:keepLines w:val="0"/>
              <w:pageBreakBefore w:val="0"/>
              <w:widowControl/>
              <w:suppressLineNumbers w:val="0"/>
              <w:kinsoku/>
              <w:wordWrap/>
              <w:overflowPunct/>
              <w:topLinePunct w:val="0"/>
              <w:autoSpaceDE/>
              <w:autoSpaceDN/>
              <w:bidi w:val="0"/>
              <w:spacing w:after="0" w:line="240" w:lineRule="atLeast"/>
              <w:jc w:val="center"/>
              <w:textAlignment w:val="center"/>
              <w:rPr>
                <w:rFonts w:hint="eastAsia" w:ascii="宋体" w:hAnsi="宋体" w:eastAsia="宋体" w:cs="宋体"/>
                <w:b/>
                <w:bCs/>
                <w:i w:val="0"/>
                <w:iCs w:val="0"/>
                <w:color w:val="000000" w:themeColor="text1"/>
                <w:sz w:val="24"/>
                <w:szCs w:val="24"/>
                <w:u w:val="none"/>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数量</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A826FB">
            <w:pPr>
              <w:keepNext w:val="0"/>
              <w:keepLines w:val="0"/>
              <w:pageBreakBefore w:val="0"/>
              <w:widowControl/>
              <w:suppressLineNumbers w:val="0"/>
              <w:kinsoku/>
              <w:wordWrap/>
              <w:overflowPunct/>
              <w:topLinePunct w:val="0"/>
              <w:autoSpaceDE/>
              <w:autoSpaceDN/>
              <w:bidi w:val="0"/>
              <w:spacing w:after="0" w:line="240" w:lineRule="atLeast"/>
              <w:jc w:val="center"/>
              <w:textAlignment w:val="center"/>
              <w:rPr>
                <w:rFonts w:hint="eastAsia" w:ascii="宋体" w:hAnsi="宋体" w:eastAsia="宋体" w:cs="宋体"/>
                <w:b/>
                <w:bCs/>
                <w:i w:val="0"/>
                <w:iCs w:val="0"/>
                <w:color w:val="000000" w:themeColor="text1"/>
                <w:sz w:val="24"/>
                <w:szCs w:val="24"/>
                <w:u w:val="none"/>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单价</w:t>
            </w:r>
          </w:p>
        </w:tc>
        <w:tc>
          <w:tcPr>
            <w:tcW w:w="2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AF1394">
            <w:pPr>
              <w:keepNext w:val="0"/>
              <w:keepLines w:val="0"/>
              <w:pageBreakBefore w:val="0"/>
              <w:widowControl/>
              <w:suppressLineNumbers w:val="0"/>
              <w:kinsoku/>
              <w:wordWrap/>
              <w:overflowPunct/>
              <w:topLinePunct w:val="0"/>
              <w:autoSpaceDE/>
              <w:autoSpaceDN/>
              <w:bidi w:val="0"/>
              <w:spacing w:after="0" w:line="240" w:lineRule="atLeast"/>
              <w:jc w:val="center"/>
              <w:textAlignment w:val="center"/>
              <w:rPr>
                <w:rFonts w:hint="eastAsia" w:ascii="宋体" w:hAnsi="宋体" w:eastAsia="宋体" w:cs="宋体"/>
                <w:b/>
                <w:bCs/>
                <w:i w:val="0"/>
                <w:iCs w:val="0"/>
                <w:color w:val="000000" w:themeColor="text1"/>
                <w:sz w:val="24"/>
                <w:szCs w:val="24"/>
                <w:u w:val="none"/>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品牌</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60D058">
            <w:pPr>
              <w:keepNext w:val="0"/>
              <w:keepLines w:val="0"/>
              <w:pageBreakBefore w:val="0"/>
              <w:widowControl/>
              <w:suppressLineNumbers w:val="0"/>
              <w:kinsoku/>
              <w:wordWrap/>
              <w:overflowPunct/>
              <w:topLinePunct w:val="0"/>
              <w:autoSpaceDE/>
              <w:autoSpaceDN/>
              <w:bidi w:val="0"/>
              <w:spacing w:after="0" w:line="240" w:lineRule="atLeast"/>
              <w:jc w:val="center"/>
              <w:textAlignment w:val="cente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总价</w:t>
            </w: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3484EF">
            <w:pPr>
              <w:keepNext w:val="0"/>
              <w:keepLines w:val="0"/>
              <w:pageBreakBefore w:val="0"/>
              <w:widowControl/>
              <w:suppressLineNumbers w:val="0"/>
              <w:kinsoku/>
              <w:wordWrap/>
              <w:overflowPunct/>
              <w:topLinePunct w:val="0"/>
              <w:autoSpaceDE/>
              <w:autoSpaceDN/>
              <w:bidi w:val="0"/>
              <w:spacing w:after="0" w:line="240" w:lineRule="atLeast"/>
              <w:jc w:val="center"/>
              <w:textAlignment w:val="cente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型号</w:t>
            </w:r>
          </w:p>
        </w:tc>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486C18">
            <w:pPr>
              <w:keepNext w:val="0"/>
              <w:keepLines w:val="0"/>
              <w:pageBreakBefore w:val="0"/>
              <w:widowControl/>
              <w:suppressLineNumbers w:val="0"/>
              <w:kinsoku/>
              <w:wordWrap/>
              <w:overflowPunct/>
              <w:topLinePunct w:val="0"/>
              <w:autoSpaceDE/>
              <w:autoSpaceDN/>
              <w:bidi w:val="0"/>
              <w:spacing w:after="0" w:line="240" w:lineRule="atLeast"/>
              <w:jc w:val="center"/>
              <w:textAlignment w:val="cente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备注</w:t>
            </w:r>
          </w:p>
        </w:tc>
      </w:tr>
      <w:tr w14:paraId="0AB6F5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B536FC">
            <w:pPr>
              <w:keepNext w:val="0"/>
              <w:keepLines w:val="0"/>
              <w:pageBreakBefore w:val="0"/>
              <w:widowControl/>
              <w:suppressLineNumbers w:val="0"/>
              <w:kinsoku/>
              <w:wordWrap/>
              <w:overflowPunct/>
              <w:topLinePunct w:val="0"/>
              <w:autoSpaceDE/>
              <w:autoSpaceDN/>
              <w:bidi w:val="0"/>
              <w:spacing w:after="0" w:line="240" w:lineRule="atLeast"/>
              <w:jc w:val="both"/>
              <w:textAlignment w:val="center"/>
              <w:rPr>
                <w:rFonts w:hint="eastAsia" w:ascii="宋体" w:hAnsi="宋体" w:eastAsia="宋体" w:cs="宋体"/>
                <w:i w:val="0"/>
                <w:iCs w:val="0"/>
                <w:color w:val="000000" w:themeColor="text1"/>
                <w:sz w:val="24"/>
                <w:szCs w:val="24"/>
                <w:u w:val="none"/>
                <w14:textFill>
                  <w14:solidFill>
                    <w14:schemeClr w14:val="tx1"/>
                  </w14:solidFill>
                </w14:textFill>
              </w:rPr>
            </w:pPr>
            <w: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t>1</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2F152">
            <w:pPr>
              <w:keepNext w:val="0"/>
              <w:keepLines w:val="0"/>
              <w:pageBreakBefore w:val="0"/>
              <w:widowControl/>
              <w:kinsoku/>
              <w:wordWrap/>
              <w:overflowPunct/>
              <w:topLinePunct w:val="0"/>
              <w:autoSpaceDE/>
              <w:autoSpaceDN/>
              <w:bidi w:val="0"/>
              <w:spacing w:after="0" w:line="240" w:lineRule="atLeast"/>
              <w:ind w:firstLine="0" w:firstLineChars="0"/>
              <w:jc w:val="both"/>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智慧黑板</w:t>
            </w:r>
          </w:p>
        </w:tc>
        <w:tc>
          <w:tcPr>
            <w:tcW w:w="6289" w:type="dxa"/>
            <w:tcBorders>
              <w:top w:val="single" w:color="000000" w:sz="4" w:space="0"/>
              <w:left w:val="single" w:color="000000" w:sz="4" w:space="0"/>
              <w:bottom w:val="single" w:color="000000" w:sz="4" w:space="0"/>
              <w:right w:val="single" w:color="000000" w:sz="4" w:space="0"/>
            </w:tcBorders>
            <w:shd w:val="clear" w:color="auto" w:fill="auto"/>
            <w:vAlign w:val="top"/>
          </w:tcPr>
          <w:p w14:paraId="479D146E">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屏幕：</w:t>
            </w:r>
          </w:p>
          <w:p w14:paraId="385A6E57">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1、屏幕采用电容触控技术LED液晶屏，屏幕显示尺寸≥86英寸，显示比例16:9，屏幕图像分辨率≥3840×2160。整体外观尺寸（长×宽）:4200mm×1200mm，（±5mm）。屏幕刷新率≥60Hz，无频闪。整机屏幕需采用表面硬度≥9H全物理钢化玻璃。</w:t>
            </w:r>
          </w:p>
          <w:p w14:paraId="02E493D2">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2、具备前置物理接口≥5个，所有接口均为非转接方式，包含HDMI接口≥1路、双通道USB3.0接口≥2路、Type-C接口≥1路、USB-Type-B接口（Touch</w:t>
            </w:r>
            <w:bookmarkStart w:id="0" w:name="_GoBack"/>
            <w:bookmarkEnd w:id="0"/>
            <w:r>
              <w:rPr>
                <w:rStyle w:val="20"/>
                <w:rFonts w:asciiTheme="minorEastAsia" w:hAnsiTheme="minorEastAsia" w:eastAsiaTheme="minorEastAsia" w:cstheme="minorEastAsia"/>
                <w:color w:val="auto"/>
                <w:sz w:val="24"/>
                <w:szCs w:val="24"/>
                <w:lang w:val="en-US" w:eastAsia="zh-CN" w:bidi="ar"/>
              </w:rPr>
              <w:t>）≥1路。</w:t>
            </w:r>
          </w:p>
          <w:p w14:paraId="6B4E17BF">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3、处理器≥八核，主频≥1.8GHz，内存≥4GB，存储空间≥32GB。</w:t>
            </w:r>
          </w:p>
          <w:p w14:paraId="1C65429F">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4、内置≥2.2声道扬声器，额定总功率≥65W，语言清晰度（STI-PA）≥0.75。</w:t>
            </w:r>
          </w:p>
          <w:p w14:paraId="1F7C5E46">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5、整机扬声器需支持在100%音量下，1米处声压级≥90dB，10米处声压级≥85dB，1米到10米距离内响度差距≤5dB，声场覆盖85%区域内响度差异≤5dB。</w:t>
            </w:r>
          </w:p>
          <w:p w14:paraId="3F2F7568">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6、支持通过口语表达快速返回系统桌面、选人和打开白板、亮度调整、声音大小调整、计时器、AI录课、上一页、下一页。</w:t>
            </w:r>
          </w:p>
          <w:p w14:paraId="53A87471">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7、按键至少包含开关机、护眼、录课、主页、音量+、音量-等功能。内置蓝牙模块，支持蓝牙Bluetooth 5.4及以上版本。</w:t>
            </w:r>
          </w:p>
          <w:p w14:paraId="18A1418C">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8、内置非独立外扩展麦克风阵列，麦克风数量≥8个，支持对教室环境音频进行采集，整机拾音距离≥12m，拾音角度≥180°。</w:t>
            </w:r>
          </w:p>
          <w:p w14:paraId="3561C8EA">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9、内置广角摄像头，摄像头像素≥4800万，对角视场角≥135°，水平视场角≥120°。</w:t>
            </w:r>
          </w:p>
          <w:p w14:paraId="1F956351">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OPS模块：</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10、OPS针脚数≥80Pin。</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11、处理器主频≥2.0GHz，核心数≥8，线程数≥12，内存≥16G DDR4；硬盘≥512G SSD。</w:t>
            </w:r>
          </w:p>
          <w:p w14:paraId="32EC942E">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12、具有非外扩展USB接口≥5个。</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13、Wi-Fi：支持802.11b/g/n/ac/ax。</w:t>
            </w:r>
          </w:p>
          <w:p w14:paraId="58CBED5E">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14、蓝牙支持Bluetooth 4.2及以上版本。</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教学系统：</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15、支持一键开机后即刻进入教学应用系统界面，无需额外点击操作运行应用系统；支持教师通过二维码扫描、账密输入、人脸识别等登录方式进入教学应用系统；支持对书写的中文字词、句子进行网络搜索。</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16、支持智能手势操作调用系统菜单、召唤全局工具栏、窗口最小化、多窗口管理、亮/息屏、降半屏等功能。</w:t>
            </w:r>
          </w:p>
          <w:p w14:paraId="3F898712">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17、备授课同步：支持通过云端将备课的资源同步至电子化教材对应章节目录，无需拷贝。支持新建自定义备课本。</w:t>
            </w:r>
          </w:p>
          <w:p w14:paraId="10AD70F2">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18、支持手写中文或英文转写为印刷体，且识别为印刷体后支持朗读、评测、生成卡片等功能；</w:t>
            </w:r>
          </w:p>
          <w:p w14:paraId="408A816F">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19、中英文划词：支持对手写中文或英文进行圈画，推荐相关卡片资料，中文卡片包括拼音、笔顺、部首和结构，英文卡片包括发音、翻译和例句等。</w:t>
            </w:r>
          </w:p>
          <w:p w14:paraId="76A6C748">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20、微课录课功能：支持屏幕内容及教室声音画面同时进行录制；提供微课录课，微课资源支持分享到班级、校本微课库，通过二维码直接分享实录视频，授课内容微课进行关键帧提取，通过点击关键帧方式定位微课内容。</w:t>
            </w:r>
          </w:p>
          <w:p w14:paraId="6C171AA3">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运维管理系统：</w:t>
            </w:r>
          </w:p>
          <w:p w14:paraId="25CF939F">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21、支持CentOS、Ubuntu、RedHat、Fedora非信创Linux桌面操作系统立即还原，支持Linux系统的差异拷贝、创建频道、虚拟系统。</w:t>
            </w:r>
          </w:p>
          <w:p w14:paraId="69BDFACA">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22、支持设置还原方式(立即还原、每天还原、每周还原、每月还原)并支持创建还原点。</w:t>
            </w:r>
          </w:p>
          <w:p w14:paraId="47FEBBEC">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23、具备分区类型设置功能，支持设置为立即还原型启动分区、备份还原型启动分区、专属分区、共享分区、Linux交换分区及其他分区，专属分区的数据只有对应分区系统可见，共享分区的数据支持共享的系统共用。</w:t>
            </w:r>
          </w:p>
          <w:p w14:paraId="2B5800E3">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24、支持多硬盘管理功能，支持在SSD硬盘和机械硬盘双硬盘保护模式下进行同传操作。</w:t>
            </w:r>
          </w:p>
          <w:p w14:paraId="1C6E7C00">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25、底层差异拷贝时支持展示终端连线号、群组、计算机名、IP地址、MAC地址、硬盘大小、卡状态、卡号及排列方式。</w:t>
            </w:r>
          </w:p>
          <w:p w14:paraId="0B08117F">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26、支持断点续传，若终端在差异拷贝时意外断线，重新进行操作后发送端将自动智能识别断线终端的数据状态，仅发送终端断线后未接收的数据；支持自定义设置终端计算机名，支持设置终端的IPV4及IPV6地址、网络连线群组，支持终端多网卡IP设置。</w:t>
            </w:r>
          </w:p>
          <w:p w14:paraId="5D0822E0">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27、支持隐藏底层操作系统选单，有多个操作系统时，支持设置默认进入某个操作系统，自定义进入系统的时间（时间支持设置到秒）。</w:t>
            </w:r>
          </w:p>
          <w:p w14:paraId="6073AC9E">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28、支持开机画面展示、操作系统托盘图标、倒计时关机、启用频道或虚拟系统或还原点等系统设置。</w:t>
            </w:r>
          </w:p>
          <w:p w14:paraId="5B6A6C24">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29、分配用户权限功能，支持在现有安装好的系统下面创建专用虚拟系统，所安装的软件和保存的数据仅自己可以使用，其他用户无法查看、修改或删除。</w:t>
            </w:r>
          </w:p>
          <w:p w14:paraId="0B31303C">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30、支持对指定频道的信息进行修改，包括让频道在开机画面显示、将频道设置为不保护、为频道启动进入密码验证、修改频道密码以及设置终端开机时画面显示的频道描述。</w:t>
            </w:r>
          </w:p>
          <w:p w14:paraId="20375BB2">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31、支持开启屏幕水印，显示内容包括当前系统、计算机名、IP地址、MAC地址及备注信息，支持设置水印的文字颜色、字体大小及在桌面上呈现的位置。</w:t>
            </w:r>
          </w:p>
          <w:p w14:paraId="6474DD70">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32、支持自动识别并记忆绿色软件的注册信息，支持对3D类、设计类需绑定硬件序列号激活软件的自动统一注册。</w:t>
            </w:r>
          </w:p>
          <w:p w14:paraId="038187D8">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33、支持查询客户端的软件使用情况日志和上网操作记录日志，记录支持导出为Excel表格；</w:t>
            </w:r>
          </w:p>
          <w:p w14:paraId="482E0346">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34、支持在网页管理端对指定客户端进行批量远程唤醒、重启、关机、注销、时间同步、系统切换和消息广播，执行重启、关机及注销操作可立即执行，支持手动设置自动执行的倒计时秒数和自定义通知消息。</w:t>
            </w:r>
          </w:p>
          <w:p w14:paraId="6905886B">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35、支持一键清除差异拷贝界面的登录信息列表记录，重新编排客户端连接顺序。</w:t>
            </w:r>
          </w:p>
          <w:p w14:paraId="6D0F5A2D">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36、支持设置客户端的黑名单进程、白名单进程、程序限制生效时间，黑名单及白名单的进程类别支持通过手动添加、游戏进程、应用进程、系统自带和客户端获取，强行运行黑名单或非白名单内的进程时弹出禁止执行提示信息。</w:t>
            </w:r>
          </w:p>
          <w:p w14:paraId="1FD0C03E">
            <w:pPr>
              <w:pStyle w:val="18"/>
              <w:jc w:val="both"/>
              <w:rPr>
                <w:rStyle w:val="20"/>
                <w:rFonts w:hint="eastAsia"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37、支持设置客户端外网的上行流量、下行流量、流量限制生效时间，限制策略不影响局域网内的内网网址访问及内网客户端之间的数据互传。</w:t>
            </w:r>
          </w:p>
        </w:tc>
        <w:tc>
          <w:tcPr>
            <w:tcW w:w="2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81DE05">
            <w:pPr>
              <w:widowControl/>
              <w:spacing w:line="240" w:lineRule="auto"/>
              <w:ind w:firstLine="0" w:firstLineChars="0"/>
              <w:jc w:val="both"/>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台</w:t>
            </w:r>
          </w:p>
        </w:tc>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86F3A1">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both"/>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135</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FABF68">
            <w:pPr>
              <w:keepNext w:val="0"/>
              <w:keepLines w:val="0"/>
              <w:pageBreakBefore w:val="0"/>
              <w:widowControl/>
              <w:kinsoku/>
              <w:wordWrap/>
              <w:overflowPunct/>
              <w:topLinePunct w:val="0"/>
              <w:autoSpaceDE/>
              <w:autoSpaceDN/>
              <w:bidi w:val="0"/>
              <w:adjustRightInd w:val="0"/>
              <w:snapToGrid w:val="0"/>
              <w:spacing w:after="0" w:line="240" w:lineRule="auto"/>
              <w:jc w:val="both"/>
              <w:rPr>
                <w:rFonts w:hint="eastAsia" w:ascii="宋体" w:hAnsi="宋体" w:eastAsia="宋体" w:cs="宋体"/>
                <w:i w:val="0"/>
                <w:iCs w:val="0"/>
                <w:color w:val="000000" w:themeColor="text1"/>
                <w:sz w:val="24"/>
                <w:szCs w:val="24"/>
                <w:u w:val="none"/>
                <w14:textFill>
                  <w14:solidFill>
                    <w14:schemeClr w14:val="tx1"/>
                  </w14:solidFill>
                </w14:textFill>
              </w:rPr>
            </w:pP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DF4F1">
            <w:pPr>
              <w:keepNext w:val="0"/>
              <w:keepLines w:val="0"/>
              <w:pageBreakBefore w:val="0"/>
              <w:widowControl/>
              <w:kinsoku/>
              <w:wordWrap/>
              <w:overflowPunct/>
              <w:topLinePunct w:val="0"/>
              <w:autoSpaceDE/>
              <w:autoSpaceDN/>
              <w:bidi w:val="0"/>
              <w:adjustRightInd w:val="0"/>
              <w:snapToGrid w:val="0"/>
              <w:spacing w:after="0" w:line="240" w:lineRule="auto"/>
              <w:jc w:val="both"/>
              <w:rPr>
                <w:rFonts w:hint="eastAsia" w:ascii="宋体" w:hAnsi="宋体" w:eastAsia="宋体" w:cs="宋体"/>
                <w:i w:val="0"/>
                <w:iCs w:val="0"/>
                <w:color w:val="000000" w:themeColor="text1"/>
                <w:sz w:val="24"/>
                <w:szCs w:val="24"/>
                <w:u w:val="none"/>
                <w14:textFill>
                  <w14:solidFill>
                    <w14:schemeClr w14:val="tx1"/>
                  </w14:solidFill>
                </w14:textFill>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2724F">
            <w:pPr>
              <w:keepNext w:val="0"/>
              <w:keepLines w:val="0"/>
              <w:pageBreakBefore w:val="0"/>
              <w:widowControl/>
              <w:kinsoku/>
              <w:wordWrap/>
              <w:overflowPunct/>
              <w:topLinePunct w:val="0"/>
              <w:autoSpaceDE/>
              <w:autoSpaceDN/>
              <w:bidi w:val="0"/>
              <w:adjustRightInd w:val="0"/>
              <w:snapToGrid w:val="0"/>
              <w:spacing w:after="0" w:line="240" w:lineRule="auto"/>
              <w:jc w:val="both"/>
              <w:rPr>
                <w:rFonts w:hint="eastAsia" w:ascii="宋体" w:hAnsi="宋体" w:eastAsia="宋体" w:cs="宋体"/>
                <w:i w:val="0"/>
                <w:iCs w:val="0"/>
                <w:color w:val="000000" w:themeColor="text1"/>
                <w:sz w:val="24"/>
                <w:szCs w:val="24"/>
                <w:u w:val="none"/>
                <w14:textFill>
                  <w14:solidFill>
                    <w14:schemeClr w14:val="tx1"/>
                  </w14:solidFill>
                </w14:textFill>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E96195">
            <w:pPr>
              <w:keepNext w:val="0"/>
              <w:keepLines w:val="0"/>
              <w:pageBreakBefore w:val="0"/>
              <w:widowControl/>
              <w:kinsoku/>
              <w:wordWrap/>
              <w:overflowPunct/>
              <w:topLinePunct w:val="0"/>
              <w:autoSpaceDE/>
              <w:autoSpaceDN/>
              <w:bidi w:val="0"/>
              <w:adjustRightInd w:val="0"/>
              <w:snapToGrid w:val="0"/>
              <w:spacing w:after="0" w:line="240" w:lineRule="auto"/>
              <w:jc w:val="both"/>
              <w:rPr>
                <w:rFonts w:hint="eastAsia" w:ascii="宋体" w:hAnsi="宋体" w:eastAsia="宋体" w:cs="宋体"/>
                <w:i w:val="0"/>
                <w:iCs w:val="0"/>
                <w:color w:val="000000" w:themeColor="text1"/>
                <w:sz w:val="24"/>
                <w:szCs w:val="24"/>
                <w:u w:val="none"/>
                <w14:textFill>
                  <w14:solidFill>
                    <w14:schemeClr w14:val="tx1"/>
                  </w14:solidFill>
                </w14:textFill>
              </w:rPr>
            </w:pPr>
          </w:p>
        </w:tc>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23BA0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both"/>
              <w:textAlignment w:val="center"/>
              <w:rPr>
                <w:rFonts w:hint="eastAsia" w:ascii="宋体" w:hAnsi="宋体" w:eastAsia="宋体" w:cs="宋体"/>
                <w:i w:val="0"/>
                <w:iCs w:val="0"/>
                <w:color w:val="000000" w:themeColor="text1"/>
                <w:sz w:val="24"/>
                <w:szCs w:val="24"/>
                <w:u w:val="none"/>
                <w14:textFill>
                  <w14:solidFill>
                    <w14:schemeClr w14:val="tx1"/>
                  </w14:solidFill>
                </w14:textFill>
              </w:rPr>
            </w:pPr>
          </w:p>
        </w:tc>
      </w:tr>
      <w:tr w14:paraId="6A617A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7A1B4E">
            <w:pPr>
              <w:keepNext w:val="0"/>
              <w:keepLines w:val="0"/>
              <w:pageBreakBefore w:val="0"/>
              <w:widowControl/>
              <w:suppressLineNumbers w:val="0"/>
              <w:kinsoku/>
              <w:wordWrap/>
              <w:overflowPunct/>
              <w:topLinePunct w:val="0"/>
              <w:autoSpaceDE/>
              <w:autoSpaceDN/>
              <w:bidi w:val="0"/>
              <w:spacing w:after="0" w:line="240" w:lineRule="atLeast"/>
              <w:jc w:val="both"/>
              <w:textAlignment w:val="center"/>
              <w:rPr>
                <w:rFonts w:hint="eastAsia" w:ascii="宋体" w:hAnsi="宋体" w:eastAsia="宋体" w:cs="宋体"/>
                <w:i w:val="0"/>
                <w:iCs w:val="0"/>
                <w:color w:val="000000" w:themeColor="text1"/>
                <w:sz w:val="24"/>
                <w:szCs w:val="24"/>
                <w:u w:val="none"/>
                <w14:textFill>
                  <w14:solidFill>
                    <w14:schemeClr w14:val="tx1"/>
                  </w14:solidFill>
                </w14:textFill>
              </w:rPr>
            </w:pPr>
            <w: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t>2</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730E49">
            <w:pPr>
              <w:keepNext w:val="0"/>
              <w:keepLines w:val="0"/>
              <w:pageBreakBefore w:val="0"/>
              <w:widowControl/>
              <w:kinsoku/>
              <w:wordWrap/>
              <w:overflowPunct/>
              <w:topLinePunct w:val="0"/>
              <w:autoSpaceDE/>
              <w:autoSpaceDN/>
              <w:bidi w:val="0"/>
              <w:spacing w:after="0" w:line="240" w:lineRule="atLeast"/>
              <w:ind w:firstLine="0" w:firstLineChars="0"/>
              <w:jc w:val="both"/>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集控平台</w:t>
            </w:r>
          </w:p>
        </w:tc>
        <w:tc>
          <w:tcPr>
            <w:tcW w:w="6289" w:type="dxa"/>
            <w:tcBorders>
              <w:top w:val="single" w:color="000000" w:sz="4" w:space="0"/>
              <w:left w:val="single" w:color="000000" w:sz="4" w:space="0"/>
              <w:bottom w:val="single" w:color="000000" w:sz="4" w:space="0"/>
              <w:right w:val="single" w:color="000000" w:sz="4" w:space="0"/>
            </w:tcBorders>
            <w:shd w:val="clear" w:color="auto" w:fill="auto"/>
            <w:vAlign w:val="top"/>
          </w:tcPr>
          <w:p w14:paraId="6E2EBC9D">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系统架构：</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1、采用B/S混合云架构，支持对教学信息化设备运行数据的监测，无需本地额外部署服务器等设备。</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2、支持正版操作系统通过网页浏览器登录操作，支持≥2种身份识别方式包含账号登录、手机扫码登录方式。</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课堂管家：</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3、系统瘦身：支持对系统磁盘进行深度清理，能够根据选择一键快速清理系统回收站文件、临时文件、日志文件。</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4、支持将系统磁盘中的个人文件一键迁移至非系统盘的指定位置。</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5、具备病毒查杀功能，支持U盘查杀。</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6、支持通过隔离引擎构建隔离区，提供一键式隔离文件恢复和彻底清除风险文件功能。</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7、支持对广告弹窗、新闻弹窗进行一键拦截。</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8、支持手动拦截、截图拦截、超级拦截3种方式。</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9、支持基于黑白名单两套规则的拦截方案，客户端支持实时查看拦截次数。</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10、支持应用软件及常用工具的分发和安装，通过客户端内置的软件管理支持实时管理相关常用教学软件的安装、更新、运行。</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11、提供软件卸载入口，支持对已安装的软件快速卸载，并静默删除相关卸载残余。</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12、支持冰点还原功能，支持设置冰点穿透白名单，在白名单内应用将默认不受冰点还原的影响，重启设备之后相应安装、卸载和更新内容操作仍然保留。</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13、支持收集单个终端的基本信息，包括：在线或离线状态、IPV4地址、MAC地址、操作系统、客户端版本、终端信息变更支持自动更新。</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14、支持收集并展示单个终端的硬件信息，包括操作系统版本、CPU、内存、硬盘，支持实时监控CPU使用率、CPU温度、内存使用率、硬盘使用率等信息；软件管理模块支持提供软件名称、软件类型、内存占用大小及安装时间。</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15、支持远程桌面控制、管理员可在集控平台通过调用关键能力，实现远程桌面管理故障终端并进行维护。</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16、支持检测设备软硬件状态：包括但不限于一键检测、摄像头检测、网络检测、声音检测、系统资源、系统设置、软件检测、工具软件。</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17、支持网络域名检测，一键获取当前设备网络情况；支持获取网络连接状态。</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使用数据监控：</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18、设备使用数据总览：支持实时查看当前管控设备数、开机设备数、设备异常数。</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19、支持查看设备使用情况，包含设备活跃分布、设备开机时长分布、开机长时间未使用情况。</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20、支持查看软件使用情况，包含教学类软件、辅助教学类软件、非教学类软件的日均使用时长，以及使用排行软件列表；支持自定义软件类型。</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设备管理：</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21、支持对全校智慧教室的教室多媒体设备进行集中运维管理和策略部署。</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22、支持实时监测已连接的交互智能设备状态，需支持显示至少10台设备使用的缩略预览以及单设备全屏查看；需支持远程监测交互智能设备开关机状态、CPU状态、硬盘使用状况、内存使用状况等设备数据。</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23、支持对广域网内的交互智能终端进行远程实时控制，支持监测设备当前运行界面，并远程对设备操作界面进行控制。</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24、支持控制连接广域网的交互智能设备，包括开关机、切换通道、更改图像、打铃及解锁屏等功能，并支持自定义日循环执行，预约定时执行。</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25、支持对选定的交互智能设备远程推送动态文字公告，支持开启倒计日功能并指定倒计日截止日期，支持远程下发文件。</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26、支持巡课值守模式，自动轮循显示处于运行状态的交互智能设备使用界面。</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27、指令管理支持反馈远程控制及信息发布等指令状态；操作日志支持按照指令类型筛选查看。</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28、支持显示交互智能设备异常的告警提示。</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29、支持创建多种屏幕锁管理策略，包含设置解锁密码、设置开机锁屏、设置联网禁用密码锁，对已有管理策略进行编辑删除。</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30、支持批量对交互智能平板进行软件远程部署，配套专用教学软件批量部署，支持静默安装。</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安全管理：</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31、支持提供教学专用弹窗屏蔽工具：支持对软件应用弹窗进行屏蔽拦截；支持自定义应用广告弹窗过滤屏蔽，支持屏蔽拦截指定应用的广告弹窗。</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32、支持远程对运行状态下的交互智能设备批量进行本地系统磁盘的冻结、解冻。被冻结后本地系统启动盘的数据及系统更改等均支持自动恢复至冻结前状态。</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33、支持实时监测开启保护设备数量、安装保护设备数量、磁盘冰冻状态等，并提示风险。</w:t>
            </w:r>
          </w:p>
          <w:p w14:paraId="18F69189">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网络安全管理：</w:t>
            </w:r>
          </w:p>
          <w:p w14:paraId="64118899">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34、支持对终端系统广告弹窗实时进行内容及特征分析，并对包含低俗信息的广告弹窗进行拦截处理。</w:t>
            </w:r>
          </w:p>
          <w:p w14:paraId="1D0B3741">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35、支持网上内容进行实时分析，并通过网址过滤、关键字过滤、图像过滤对网上内容中包括的不良信息访问进行实时拦截；识别策略支持高、中、低级别设置；支持手动设置黑、白名单及关键字及进程黑名单。</w:t>
            </w:r>
          </w:p>
          <w:p w14:paraId="1E1AA2FD">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36、支持对终端运行的在线游戏进行策略分析并实时阻止游戏站点访问。</w:t>
            </w:r>
          </w:p>
          <w:p w14:paraId="1B790B39">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37、具备对教学设备使用时间进行管理的功能，根据策略限制终端使用时间并进行提示及设备处置。</w:t>
            </w:r>
          </w:p>
          <w:p w14:paraId="5F36DE83">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38、包含黑、白名单及关键字资源，并支持用户自定义过滤策略，用户自定义策略优先级最高。</w:t>
            </w:r>
          </w:p>
          <w:p w14:paraId="6681F82B">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39、具备日志管理功能，实时记录上网浏览信息及浏览时间、以及不良信息访问及过滤记录；支持按策略进行屏幕记录，详细记录设备使用过程。</w:t>
            </w:r>
          </w:p>
          <w:p w14:paraId="5EB4348E">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40、提供管理员及普通权限，管理权限支持对软件进行统一管理操作及卸载；支持管理员及学生角色对应策略实时切换实时生效。</w:t>
            </w:r>
          </w:p>
          <w:p w14:paraId="4AD08C78">
            <w:pPr>
              <w:pStyle w:val="18"/>
              <w:jc w:val="both"/>
              <w:rPr>
                <w:rStyle w:val="20"/>
                <w:rFonts w:hint="eastAsia"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41、支持32及64位系统。支持在无盘和有盘环境下运行，支持云桌面系统运行。</w:t>
            </w:r>
          </w:p>
        </w:tc>
        <w:tc>
          <w:tcPr>
            <w:tcW w:w="2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AC4328">
            <w:pPr>
              <w:widowControl/>
              <w:spacing w:line="240" w:lineRule="auto"/>
              <w:ind w:firstLine="0" w:firstLineChars="0"/>
              <w:jc w:val="both"/>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套</w:t>
            </w:r>
          </w:p>
        </w:tc>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7A07DB">
            <w:pPr>
              <w:widowControl/>
              <w:spacing w:line="240" w:lineRule="auto"/>
              <w:ind w:firstLine="0" w:firstLineChars="0"/>
              <w:jc w:val="both"/>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1</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EC2A24">
            <w:pPr>
              <w:keepNext w:val="0"/>
              <w:keepLines w:val="0"/>
              <w:pageBreakBefore w:val="0"/>
              <w:widowControl/>
              <w:kinsoku/>
              <w:wordWrap/>
              <w:overflowPunct/>
              <w:topLinePunct w:val="0"/>
              <w:autoSpaceDE/>
              <w:autoSpaceDN/>
              <w:bidi w:val="0"/>
              <w:spacing w:after="0" w:line="240" w:lineRule="atLeast"/>
              <w:jc w:val="both"/>
              <w:rPr>
                <w:rFonts w:hint="eastAsia" w:ascii="宋体" w:hAnsi="宋体" w:eastAsia="宋体" w:cs="宋体"/>
                <w:i w:val="0"/>
                <w:iCs w:val="0"/>
                <w:color w:val="000000" w:themeColor="text1"/>
                <w:sz w:val="24"/>
                <w:szCs w:val="24"/>
                <w:u w:val="none"/>
                <w14:textFill>
                  <w14:solidFill>
                    <w14:schemeClr w14:val="tx1"/>
                  </w14:solidFill>
                </w14:textFill>
              </w:rPr>
            </w:pPr>
          </w:p>
        </w:tc>
        <w:tc>
          <w:tcPr>
            <w:tcW w:w="2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DF8C57">
            <w:pPr>
              <w:keepNext w:val="0"/>
              <w:keepLines w:val="0"/>
              <w:pageBreakBefore w:val="0"/>
              <w:widowControl/>
              <w:kinsoku/>
              <w:wordWrap/>
              <w:overflowPunct/>
              <w:topLinePunct w:val="0"/>
              <w:autoSpaceDE/>
              <w:autoSpaceDN/>
              <w:bidi w:val="0"/>
              <w:spacing w:after="0" w:line="240" w:lineRule="atLeast"/>
              <w:jc w:val="both"/>
              <w:rPr>
                <w:rFonts w:hint="eastAsia" w:ascii="宋体" w:hAnsi="宋体" w:eastAsia="宋体" w:cs="宋体"/>
                <w:i w:val="0"/>
                <w:iCs w:val="0"/>
                <w:color w:val="000000" w:themeColor="text1"/>
                <w:sz w:val="24"/>
                <w:szCs w:val="24"/>
                <w:u w:val="none"/>
                <w14:textFill>
                  <w14:solidFill>
                    <w14:schemeClr w14:val="tx1"/>
                  </w14:solidFill>
                </w14:textFill>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4AD41">
            <w:pPr>
              <w:keepNext w:val="0"/>
              <w:keepLines w:val="0"/>
              <w:pageBreakBefore w:val="0"/>
              <w:widowControl/>
              <w:kinsoku/>
              <w:wordWrap/>
              <w:overflowPunct/>
              <w:topLinePunct w:val="0"/>
              <w:autoSpaceDE/>
              <w:autoSpaceDN/>
              <w:bidi w:val="0"/>
              <w:spacing w:after="0" w:line="240" w:lineRule="atLeast"/>
              <w:jc w:val="both"/>
              <w:rPr>
                <w:rFonts w:hint="eastAsia" w:ascii="宋体" w:hAnsi="宋体" w:eastAsia="宋体" w:cs="宋体"/>
                <w:i w:val="0"/>
                <w:iCs w:val="0"/>
                <w:color w:val="000000" w:themeColor="text1"/>
                <w:sz w:val="24"/>
                <w:szCs w:val="24"/>
                <w:u w:val="none"/>
                <w14:textFill>
                  <w14:solidFill>
                    <w14:schemeClr w14:val="tx1"/>
                  </w14:solidFill>
                </w14:textFill>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A5CA5">
            <w:pPr>
              <w:keepNext w:val="0"/>
              <w:keepLines w:val="0"/>
              <w:pageBreakBefore w:val="0"/>
              <w:widowControl/>
              <w:kinsoku/>
              <w:wordWrap/>
              <w:overflowPunct/>
              <w:topLinePunct w:val="0"/>
              <w:autoSpaceDE/>
              <w:autoSpaceDN/>
              <w:bidi w:val="0"/>
              <w:spacing w:after="0" w:line="240" w:lineRule="atLeast"/>
              <w:jc w:val="both"/>
              <w:rPr>
                <w:rFonts w:hint="eastAsia" w:ascii="宋体" w:hAnsi="宋体" w:eastAsia="宋体" w:cs="宋体"/>
                <w:i w:val="0"/>
                <w:iCs w:val="0"/>
                <w:color w:val="000000" w:themeColor="text1"/>
                <w:sz w:val="24"/>
                <w:szCs w:val="24"/>
                <w:u w:val="none"/>
                <w14:textFill>
                  <w14:solidFill>
                    <w14:schemeClr w14:val="tx1"/>
                  </w14:solidFill>
                </w14:textFill>
              </w:rPr>
            </w:pPr>
          </w:p>
        </w:tc>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15BC6E">
            <w:pPr>
              <w:keepNext w:val="0"/>
              <w:keepLines w:val="0"/>
              <w:pageBreakBefore w:val="0"/>
              <w:widowControl/>
              <w:suppressLineNumbers w:val="0"/>
              <w:kinsoku/>
              <w:wordWrap/>
              <w:overflowPunct/>
              <w:topLinePunct w:val="0"/>
              <w:autoSpaceDE/>
              <w:autoSpaceDN/>
              <w:bidi w:val="0"/>
              <w:spacing w:after="0" w:line="240" w:lineRule="atLeast"/>
              <w:jc w:val="both"/>
              <w:textAlignment w:val="center"/>
              <w:rPr>
                <w:rFonts w:hint="eastAsia" w:ascii="宋体" w:hAnsi="宋体" w:eastAsia="宋体" w:cs="宋体"/>
                <w:i w:val="0"/>
                <w:iCs w:val="0"/>
                <w:color w:val="000000" w:themeColor="text1"/>
                <w:sz w:val="24"/>
                <w:szCs w:val="24"/>
                <w:u w:val="none"/>
                <w14:textFill>
                  <w14:solidFill>
                    <w14:schemeClr w14:val="tx1"/>
                  </w14:solidFill>
                </w14:textFill>
              </w:rPr>
            </w:pPr>
          </w:p>
        </w:tc>
      </w:tr>
      <w:tr w14:paraId="01AF0F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6" w:hRule="atLeast"/>
        </w:trPr>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16072B">
            <w:pPr>
              <w:keepNext w:val="0"/>
              <w:keepLines w:val="0"/>
              <w:pageBreakBefore w:val="0"/>
              <w:widowControl/>
              <w:suppressLineNumbers w:val="0"/>
              <w:kinsoku/>
              <w:wordWrap/>
              <w:overflowPunct/>
              <w:topLinePunct w:val="0"/>
              <w:autoSpaceDE/>
              <w:autoSpaceDN/>
              <w:bidi w:val="0"/>
              <w:spacing w:after="0" w:line="240" w:lineRule="atLeast"/>
              <w:jc w:val="both"/>
              <w:textAlignment w:val="center"/>
              <w:rPr>
                <w:rFonts w:hint="eastAsia" w:ascii="宋体" w:hAnsi="宋体" w:eastAsia="宋体" w:cs="宋体"/>
                <w:i w:val="0"/>
                <w:iCs w:val="0"/>
                <w:color w:val="000000" w:themeColor="text1"/>
                <w:sz w:val="24"/>
                <w:szCs w:val="24"/>
                <w:u w:val="none"/>
                <w14:textFill>
                  <w14:solidFill>
                    <w14:schemeClr w14:val="tx1"/>
                  </w14:solidFill>
                </w14:textFill>
              </w:rPr>
            </w:pPr>
            <w: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t>3</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0FCA53">
            <w:pPr>
              <w:keepNext w:val="0"/>
              <w:keepLines w:val="0"/>
              <w:pageBreakBefore w:val="0"/>
              <w:widowControl/>
              <w:kinsoku/>
              <w:wordWrap/>
              <w:overflowPunct/>
              <w:topLinePunct w:val="0"/>
              <w:autoSpaceDE/>
              <w:autoSpaceDN/>
              <w:bidi w:val="0"/>
              <w:spacing w:after="0" w:line="240" w:lineRule="atLeast"/>
              <w:ind w:firstLine="0" w:firstLineChars="0"/>
              <w:jc w:val="both"/>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壁挂展台</w:t>
            </w:r>
          </w:p>
        </w:tc>
        <w:tc>
          <w:tcPr>
            <w:tcW w:w="6289" w:type="dxa"/>
            <w:tcBorders>
              <w:top w:val="single" w:color="000000" w:sz="4" w:space="0"/>
              <w:left w:val="single" w:color="000000" w:sz="4" w:space="0"/>
              <w:bottom w:val="single" w:color="000000" w:sz="4" w:space="0"/>
              <w:right w:val="single" w:color="000000" w:sz="4" w:space="0"/>
            </w:tcBorders>
            <w:shd w:val="clear" w:color="auto" w:fill="auto"/>
            <w:vAlign w:val="top"/>
          </w:tcPr>
          <w:p w14:paraId="6AC915B1">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1、采用磁吸开合门板，带阻尼缓冲效果开合托板，展开后托板支持A4面积。</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2、展台像素：摄像头≥800万像素。1080P动态视频预览≥30帧/秒；托板承重≥3kg，整机支持壁挂式安装。</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3、具备USB五伏接口，单根USB线实现数据传输和供电，传输距离≥5米远时支持选择辅助供电。</w:t>
            </w:r>
          </w:p>
          <w:p w14:paraId="6625F017">
            <w:pPr>
              <w:pStyle w:val="18"/>
              <w:jc w:val="both"/>
              <w:rPr>
                <w:rStyle w:val="20"/>
                <w:rFonts w:hint="eastAsia"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4、USB接口≥2个。</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5、界面与各功能图标支持中文。</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6、软件基础功能：支持预设画笔批注的粗细及颜色，支持对展台画面进行移动、缩放。</w:t>
            </w:r>
          </w:p>
        </w:tc>
        <w:tc>
          <w:tcPr>
            <w:tcW w:w="2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041F9B">
            <w:pPr>
              <w:widowControl/>
              <w:spacing w:line="240" w:lineRule="auto"/>
              <w:ind w:firstLine="0" w:firstLineChars="0"/>
              <w:jc w:val="both"/>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台</w:t>
            </w:r>
          </w:p>
        </w:tc>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C041FB">
            <w:pPr>
              <w:widowControl/>
              <w:spacing w:line="240" w:lineRule="auto"/>
              <w:ind w:firstLine="0" w:firstLineChars="0"/>
              <w:jc w:val="both"/>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135</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B6943C">
            <w:pPr>
              <w:keepNext w:val="0"/>
              <w:keepLines w:val="0"/>
              <w:pageBreakBefore w:val="0"/>
              <w:widowControl/>
              <w:kinsoku/>
              <w:wordWrap/>
              <w:overflowPunct/>
              <w:topLinePunct w:val="0"/>
              <w:autoSpaceDE/>
              <w:autoSpaceDN/>
              <w:bidi w:val="0"/>
              <w:spacing w:after="0" w:line="240" w:lineRule="atLeast"/>
              <w:jc w:val="both"/>
              <w:rPr>
                <w:rFonts w:hint="eastAsia" w:ascii="宋体" w:hAnsi="宋体" w:eastAsia="宋体" w:cs="宋体"/>
                <w:i w:val="0"/>
                <w:iCs w:val="0"/>
                <w:color w:val="000000" w:themeColor="text1"/>
                <w:sz w:val="24"/>
                <w:szCs w:val="24"/>
                <w:u w:val="none"/>
                <w14:textFill>
                  <w14:solidFill>
                    <w14:schemeClr w14:val="tx1"/>
                  </w14:solidFill>
                </w14:textFill>
              </w:rPr>
            </w:pPr>
          </w:p>
        </w:tc>
        <w:tc>
          <w:tcPr>
            <w:tcW w:w="2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BC970B">
            <w:pPr>
              <w:keepNext w:val="0"/>
              <w:keepLines w:val="0"/>
              <w:pageBreakBefore w:val="0"/>
              <w:widowControl/>
              <w:kinsoku/>
              <w:wordWrap/>
              <w:overflowPunct/>
              <w:topLinePunct w:val="0"/>
              <w:autoSpaceDE/>
              <w:autoSpaceDN/>
              <w:bidi w:val="0"/>
              <w:spacing w:after="0" w:line="240" w:lineRule="atLeast"/>
              <w:jc w:val="both"/>
              <w:rPr>
                <w:rFonts w:hint="eastAsia" w:ascii="宋体" w:hAnsi="宋体" w:eastAsia="宋体" w:cs="宋体"/>
                <w:i w:val="0"/>
                <w:iCs w:val="0"/>
                <w:color w:val="000000" w:themeColor="text1"/>
                <w:sz w:val="24"/>
                <w:szCs w:val="24"/>
                <w:u w:val="none"/>
                <w14:textFill>
                  <w14:solidFill>
                    <w14:schemeClr w14:val="tx1"/>
                  </w14:solidFill>
                </w14:textFill>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35016">
            <w:pPr>
              <w:keepNext w:val="0"/>
              <w:keepLines w:val="0"/>
              <w:pageBreakBefore w:val="0"/>
              <w:widowControl/>
              <w:kinsoku/>
              <w:wordWrap/>
              <w:overflowPunct/>
              <w:topLinePunct w:val="0"/>
              <w:autoSpaceDE/>
              <w:autoSpaceDN/>
              <w:bidi w:val="0"/>
              <w:spacing w:after="0" w:line="240" w:lineRule="atLeast"/>
              <w:jc w:val="both"/>
              <w:rPr>
                <w:rFonts w:hint="eastAsia" w:ascii="宋体" w:hAnsi="宋体" w:eastAsia="宋体" w:cs="宋体"/>
                <w:i w:val="0"/>
                <w:iCs w:val="0"/>
                <w:color w:val="000000" w:themeColor="text1"/>
                <w:sz w:val="24"/>
                <w:szCs w:val="24"/>
                <w:u w:val="none"/>
                <w14:textFill>
                  <w14:solidFill>
                    <w14:schemeClr w14:val="tx1"/>
                  </w14:solidFill>
                </w14:textFill>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2AB3C">
            <w:pPr>
              <w:keepNext w:val="0"/>
              <w:keepLines w:val="0"/>
              <w:pageBreakBefore w:val="0"/>
              <w:widowControl/>
              <w:kinsoku/>
              <w:wordWrap/>
              <w:overflowPunct/>
              <w:topLinePunct w:val="0"/>
              <w:autoSpaceDE/>
              <w:autoSpaceDN/>
              <w:bidi w:val="0"/>
              <w:spacing w:after="0" w:line="240" w:lineRule="atLeast"/>
              <w:jc w:val="both"/>
              <w:rPr>
                <w:rFonts w:hint="eastAsia" w:ascii="宋体" w:hAnsi="宋体" w:eastAsia="宋体" w:cs="宋体"/>
                <w:i w:val="0"/>
                <w:iCs w:val="0"/>
                <w:color w:val="000000" w:themeColor="text1"/>
                <w:sz w:val="24"/>
                <w:szCs w:val="24"/>
                <w:u w:val="none"/>
                <w14:textFill>
                  <w14:solidFill>
                    <w14:schemeClr w14:val="tx1"/>
                  </w14:solidFill>
                </w14:textFill>
              </w:rPr>
            </w:pPr>
          </w:p>
        </w:tc>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F0B5A4">
            <w:pPr>
              <w:keepNext w:val="0"/>
              <w:keepLines w:val="0"/>
              <w:pageBreakBefore w:val="0"/>
              <w:widowControl/>
              <w:kinsoku/>
              <w:wordWrap/>
              <w:overflowPunct/>
              <w:topLinePunct w:val="0"/>
              <w:autoSpaceDE/>
              <w:autoSpaceDN/>
              <w:bidi w:val="0"/>
              <w:spacing w:after="0" w:line="240" w:lineRule="atLeast"/>
              <w:jc w:val="both"/>
              <w:rPr>
                <w:rFonts w:hint="eastAsia" w:ascii="宋体" w:hAnsi="宋体" w:eastAsia="宋体" w:cs="宋体"/>
                <w:i w:val="0"/>
                <w:iCs w:val="0"/>
                <w:color w:val="000000" w:themeColor="text1"/>
                <w:sz w:val="24"/>
                <w:szCs w:val="24"/>
                <w:u w:val="none"/>
                <w14:textFill>
                  <w14:solidFill>
                    <w14:schemeClr w14:val="tx1"/>
                  </w14:solidFill>
                </w14:textFill>
              </w:rPr>
            </w:pPr>
          </w:p>
        </w:tc>
      </w:tr>
      <w:tr w14:paraId="5B07C3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6" w:hRule="atLeast"/>
        </w:trPr>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607D05">
            <w:pPr>
              <w:keepNext w:val="0"/>
              <w:keepLines w:val="0"/>
              <w:pageBreakBefore w:val="0"/>
              <w:widowControl/>
              <w:suppressLineNumbers w:val="0"/>
              <w:kinsoku/>
              <w:wordWrap/>
              <w:overflowPunct/>
              <w:topLinePunct w:val="0"/>
              <w:autoSpaceDE/>
              <w:autoSpaceDN/>
              <w:bidi w:val="0"/>
              <w:spacing w:after="0" w:line="240" w:lineRule="atLeast"/>
              <w:jc w:val="both"/>
              <w:textAlignment w:val="cente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t>4</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0DACD3">
            <w:pPr>
              <w:keepNext w:val="0"/>
              <w:keepLines w:val="0"/>
              <w:pageBreakBefore w:val="0"/>
              <w:widowControl/>
              <w:kinsoku/>
              <w:wordWrap/>
              <w:overflowPunct/>
              <w:topLinePunct w:val="0"/>
              <w:autoSpaceDE/>
              <w:autoSpaceDN/>
              <w:bidi w:val="0"/>
              <w:spacing w:after="0" w:line="240" w:lineRule="atLeast"/>
              <w:ind w:firstLine="0" w:firstLineChars="0"/>
              <w:jc w:val="both"/>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教学智能笔</w:t>
            </w:r>
          </w:p>
        </w:tc>
        <w:tc>
          <w:tcPr>
            <w:tcW w:w="6289" w:type="dxa"/>
            <w:tcBorders>
              <w:top w:val="single" w:color="000000" w:sz="4" w:space="0"/>
              <w:left w:val="single" w:color="000000" w:sz="4" w:space="0"/>
              <w:bottom w:val="single" w:color="000000" w:sz="4" w:space="0"/>
              <w:right w:val="single" w:color="000000" w:sz="4" w:space="0"/>
            </w:tcBorders>
            <w:shd w:val="clear" w:color="auto" w:fill="auto"/>
            <w:vAlign w:val="top"/>
          </w:tcPr>
          <w:p w14:paraId="7C4A4F96">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1、笔身配置按键，至少包括书写颜色切换、上下翻页、智能语音和扩音、书写颜色切换、无线鼠标功能。</w:t>
            </w:r>
          </w:p>
          <w:p w14:paraId="3C97F6E5">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2、支持多种人机交互功能，包括点击屏幕、语音控制。</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3、具备语音识别和语义理解功能，支持用户口语控制功能，包括控制操作系统、应用软件；支持模糊语义理解（非固定口语指令模式）。</w:t>
            </w:r>
          </w:p>
          <w:p w14:paraId="5E32A73D">
            <w:pPr>
              <w:pStyle w:val="18"/>
              <w:jc w:val="both"/>
              <w:rPr>
                <w:rStyle w:val="20"/>
                <w:rFonts w:hint="eastAsia"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4、支持直接通过语音调用网络搜索引擎。</w:t>
            </w:r>
            <w:r>
              <w:rPr>
                <w:rStyle w:val="20"/>
                <w:rFonts w:asciiTheme="minorEastAsia" w:hAnsiTheme="minorEastAsia" w:eastAsiaTheme="minorEastAsia" w:cstheme="minorEastAsia"/>
                <w:color w:val="auto"/>
                <w:sz w:val="24"/>
                <w:szCs w:val="24"/>
                <w:lang w:val="en-US" w:eastAsia="zh-CN" w:bidi="ar"/>
              </w:rPr>
              <w:br w:type="textWrapping"/>
            </w:r>
            <w:r>
              <w:rPr>
                <w:rStyle w:val="20"/>
                <w:rFonts w:asciiTheme="minorEastAsia" w:hAnsiTheme="minorEastAsia" w:eastAsiaTheme="minorEastAsia" w:cstheme="minorEastAsia"/>
                <w:color w:val="auto"/>
                <w:sz w:val="24"/>
                <w:szCs w:val="24"/>
                <w:lang w:val="en-US" w:eastAsia="zh-CN" w:bidi="ar"/>
              </w:rPr>
              <w:t>5、画笔键支持场景自适应功能，在白板状态下，支持颜色切换和橡皮擦功能，在其他状态下支持一键调用批注功能。</w:t>
            </w:r>
          </w:p>
        </w:tc>
        <w:tc>
          <w:tcPr>
            <w:tcW w:w="2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8D4DA2">
            <w:pPr>
              <w:widowControl/>
              <w:spacing w:line="240" w:lineRule="auto"/>
              <w:ind w:firstLine="0" w:firstLineChars="0"/>
              <w:jc w:val="both"/>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支</w:t>
            </w:r>
          </w:p>
        </w:tc>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99CBC7">
            <w:pPr>
              <w:widowControl/>
              <w:spacing w:line="240" w:lineRule="auto"/>
              <w:ind w:firstLine="0" w:firstLineChars="0"/>
              <w:jc w:val="both"/>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1</w:t>
            </w:r>
            <w:r>
              <w:rPr>
                <w:rFonts w:hint="eastAsia" w:ascii="宋体" w:hAnsi="宋体" w:eastAsia="宋体" w:cs="宋体"/>
                <w:color w:val="000000"/>
                <w:kern w:val="0"/>
                <w:sz w:val="24"/>
                <w:szCs w:val="24"/>
                <w:lang w:val="en-US" w:eastAsia="zh-CN"/>
              </w:rPr>
              <w:t>35</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B23C6B">
            <w:pPr>
              <w:keepNext w:val="0"/>
              <w:keepLines w:val="0"/>
              <w:pageBreakBefore w:val="0"/>
              <w:widowControl/>
              <w:kinsoku/>
              <w:wordWrap/>
              <w:overflowPunct/>
              <w:topLinePunct w:val="0"/>
              <w:autoSpaceDE/>
              <w:autoSpaceDN/>
              <w:bidi w:val="0"/>
              <w:spacing w:after="0" w:line="240" w:lineRule="atLeast"/>
              <w:jc w:val="both"/>
              <w:rPr>
                <w:rFonts w:hint="eastAsia" w:ascii="宋体" w:hAnsi="宋体" w:eastAsia="宋体" w:cs="宋体"/>
                <w:i w:val="0"/>
                <w:iCs w:val="0"/>
                <w:color w:val="000000" w:themeColor="text1"/>
                <w:sz w:val="24"/>
                <w:szCs w:val="24"/>
                <w:u w:val="none"/>
                <w14:textFill>
                  <w14:solidFill>
                    <w14:schemeClr w14:val="tx1"/>
                  </w14:solidFill>
                </w14:textFill>
              </w:rPr>
            </w:pPr>
          </w:p>
        </w:tc>
        <w:tc>
          <w:tcPr>
            <w:tcW w:w="2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0CFE1C">
            <w:pPr>
              <w:keepNext w:val="0"/>
              <w:keepLines w:val="0"/>
              <w:pageBreakBefore w:val="0"/>
              <w:widowControl/>
              <w:kinsoku/>
              <w:wordWrap/>
              <w:overflowPunct/>
              <w:topLinePunct w:val="0"/>
              <w:autoSpaceDE/>
              <w:autoSpaceDN/>
              <w:bidi w:val="0"/>
              <w:spacing w:after="0" w:line="240" w:lineRule="atLeast"/>
              <w:jc w:val="both"/>
              <w:rPr>
                <w:rFonts w:hint="eastAsia" w:ascii="宋体" w:hAnsi="宋体" w:eastAsia="宋体" w:cs="宋体"/>
                <w:i w:val="0"/>
                <w:iCs w:val="0"/>
                <w:color w:val="000000" w:themeColor="text1"/>
                <w:sz w:val="24"/>
                <w:szCs w:val="24"/>
                <w:u w:val="none"/>
                <w14:textFill>
                  <w14:solidFill>
                    <w14:schemeClr w14:val="tx1"/>
                  </w14:solidFill>
                </w14:textFill>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921FA">
            <w:pPr>
              <w:keepNext w:val="0"/>
              <w:keepLines w:val="0"/>
              <w:pageBreakBefore w:val="0"/>
              <w:widowControl/>
              <w:kinsoku/>
              <w:wordWrap/>
              <w:overflowPunct/>
              <w:topLinePunct w:val="0"/>
              <w:autoSpaceDE/>
              <w:autoSpaceDN/>
              <w:bidi w:val="0"/>
              <w:spacing w:after="0" w:line="240" w:lineRule="atLeast"/>
              <w:jc w:val="both"/>
              <w:rPr>
                <w:rFonts w:hint="eastAsia" w:ascii="宋体" w:hAnsi="宋体" w:eastAsia="宋体" w:cs="宋体"/>
                <w:i w:val="0"/>
                <w:iCs w:val="0"/>
                <w:color w:val="000000" w:themeColor="text1"/>
                <w:sz w:val="24"/>
                <w:szCs w:val="24"/>
                <w:u w:val="none"/>
                <w14:textFill>
                  <w14:solidFill>
                    <w14:schemeClr w14:val="tx1"/>
                  </w14:solidFill>
                </w14:textFill>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47396">
            <w:pPr>
              <w:keepNext w:val="0"/>
              <w:keepLines w:val="0"/>
              <w:pageBreakBefore w:val="0"/>
              <w:widowControl/>
              <w:kinsoku/>
              <w:wordWrap/>
              <w:overflowPunct/>
              <w:topLinePunct w:val="0"/>
              <w:autoSpaceDE/>
              <w:autoSpaceDN/>
              <w:bidi w:val="0"/>
              <w:spacing w:after="0" w:line="240" w:lineRule="atLeast"/>
              <w:jc w:val="both"/>
              <w:rPr>
                <w:rFonts w:hint="eastAsia" w:ascii="宋体" w:hAnsi="宋体" w:eastAsia="宋体" w:cs="宋体"/>
                <w:i w:val="0"/>
                <w:iCs w:val="0"/>
                <w:color w:val="000000" w:themeColor="text1"/>
                <w:sz w:val="24"/>
                <w:szCs w:val="24"/>
                <w:u w:val="none"/>
                <w14:textFill>
                  <w14:solidFill>
                    <w14:schemeClr w14:val="tx1"/>
                  </w14:solidFill>
                </w14:textFill>
              </w:rPr>
            </w:pPr>
          </w:p>
        </w:tc>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EE40C9">
            <w:pPr>
              <w:keepNext w:val="0"/>
              <w:keepLines w:val="0"/>
              <w:pageBreakBefore w:val="0"/>
              <w:widowControl/>
              <w:kinsoku/>
              <w:wordWrap/>
              <w:overflowPunct/>
              <w:topLinePunct w:val="0"/>
              <w:autoSpaceDE/>
              <w:autoSpaceDN/>
              <w:bidi w:val="0"/>
              <w:spacing w:after="0" w:line="240" w:lineRule="atLeast"/>
              <w:jc w:val="both"/>
              <w:rPr>
                <w:rFonts w:hint="eastAsia" w:ascii="宋体" w:hAnsi="宋体" w:eastAsia="宋体" w:cs="宋体"/>
                <w:i w:val="0"/>
                <w:iCs w:val="0"/>
                <w:color w:val="000000" w:themeColor="text1"/>
                <w:sz w:val="24"/>
                <w:szCs w:val="24"/>
                <w:u w:val="none"/>
                <w14:textFill>
                  <w14:solidFill>
                    <w14:schemeClr w14:val="tx1"/>
                  </w14:solidFill>
                </w14:textFill>
              </w:rPr>
            </w:pPr>
          </w:p>
        </w:tc>
      </w:tr>
      <w:tr w14:paraId="4A91FE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6" w:hRule="atLeast"/>
        </w:trPr>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5C24C9">
            <w:pPr>
              <w:keepNext w:val="0"/>
              <w:keepLines w:val="0"/>
              <w:pageBreakBefore w:val="0"/>
              <w:widowControl/>
              <w:suppressLineNumbers w:val="0"/>
              <w:kinsoku/>
              <w:wordWrap/>
              <w:overflowPunct/>
              <w:topLinePunct w:val="0"/>
              <w:autoSpaceDE/>
              <w:autoSpaceDN/>
              <w:bidi w:val="0"/>
              <w:spacing w:after="0" w:line="240" w:lineRule="atLeast"/>
              <w:jc w:val="both"/>
              <w:textAlignment w:val="cente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t>5</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6087F2">
            <w:pPr>
              <w:keepNext w:val="0"/>
              <w:keepLines w:val="0"/>
              <w:pageBreakBefore w:val="0"/>
              <w:widowControl/>
              <w:kinsoku/>
              <w:wordWrap/>
              <w:overflowPunct/>
              <w:topLinePunct w:val="0"/>
              <w:autoSpaceDE/>
              <w:autoSpaceDN/>
              <w:bidi w:val="0"/>
              <w:spacing w:after="0" w:line="240" w:lineRule="atLeast"/>
              <w:ind w:firstLine="0" w:firstLineChars="0"/>
              <w:jc w:val="both"/>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智慧设备管理系统</w:t>
            </w:r>
          </w:p>
        </w:tc>
        <w:tc>
          <w:tcPr>
            <w:tcW w:w="6289" w:type="dxa"/>
            <w:tcBorders>
              <w:top w:val="single" w:color="000000" w:sz="4" w:space="0"/>
              <w:left w:val="single" w:color="000000" w:sz="4" w:space="0"/>
              <w:bottom w:val="single" w:color="000000" w:sz="4" w:space="0"/>
              <w:right w:val="single" w:color="000000" w:sz="4" w:space="0"/>
            </w:tcBorders>
            <w:shd w:val="clear" w:color="auto" w:fill="auto"/>
            <w:vAlign w:val="top"/>
          </w:tcPr>
          <w:p w14:paraId="78DBA83C">
            <w:pPr>
              <w:pStyle w:val="18"/>
              <w:numPr>
                <w:ilvl w:val="0"/>
                <w:numId w:val="2"/>
              </w:numPr>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支持管理宿舍牌、场所牌等智能设备信息，并提供设备绑定、位置及IP地址等基础信息维护、系统界面截图、日志获取等功能。</w:t>
            </w:r>
          </w:p>
          <w:p w14:paraId="0E5D9EAD">
            <w:pPr>
              <w:pStyle w:val="18"/>
              <w:numPr>
                <w:numId w:val="0"/>
              </w:numPr>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2、支持分类显示智能设备，包含IP地址、MAC、物理位置、编辑、截图等；支持电子班牌、教材终端的管理。</w:t>
            </w:r>
          </w:p>
          <w:p w14:paraId="2817C01E">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3、支持绑定智能设备，支持IP地址自动搜索。</w:t>
            </w:r>
          </w:p>
          <w:p w14:paraId="7071AF9B">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4、支持内网、外网二维码扫描绑定。</w:t>
            </w:r>
          </w:p>
          <w:p w14:paraId="23450540">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5、支持自定义配置设备分组，支持设备批量移动。</w:t>
            </w:r>
          </w:p>
          <w:p w14:paraId="2B66291D">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6、支持分类别设置自动开关机、定时重启、时间轴预览等。</w:t>
            </w:r>
          </w:p>
          <w:p w14:paraId="154A871A">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7、支持拖拽配置文件，完成设备OTA升级；支持设置设备权限，包含管理密码、人脸校验等。</w:t>
            </w:r>
          </w:p>
          <w:p w14:paraId="72F3F0FC">
            <w:pPr>
              <w:pStyle w:val="18"/>
              <w:jc w:val="both"/>
              <w:rPr>
                <w:rStyle w:val="20"/>
                <w:rFonts w:hint="eastAsia"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8、除上述要求外，所投产品其他要求符合GB/T 25000.51-2016《系统与软件工程系统与软件质量要求和评价(SQuaRE)第51部分:就绪可用软件产品(RUSP)的质量要求和测试细则》要求。</w:t>
            </w:r>
          </w:p>
        </w:tc>
        <w:tc>
          <w:tcPr>
            <w:tcW w:w="2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A41967">
            <w:pPr>
              <w:widowControl/>
              <w:spacing w:line="240" w:lineRule="auto"/>
              <w:ind w:firstLine="0" w:firstLineChars="0"/>
              <w:jc w:val="both"/>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套</w:t>
            </w:r>
          </w:p>
        </w:tc>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8EB600">
            <w:pPr>
              <w:widowControl/>
              <w:spacing w:line="240" w:lineRule="auto"/>
              <w:ind w:firstLine="0" w:firstLineChars="0"/>
              <w:jc w:val="both"/>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1</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36E2FF">
            <w:pPr>
              <w:keepNext w:val="0"/>
              <w:keepLines w:val="0"/>
              <w:pageBreakBefore w:val="0"/>
              <w:widowControl/>
              <w:kinsoku/>
              <w:wordWrap/>
              <w:overflowPunct/>
              <w:topLinePunct w:val="0"/>
              <w:autoSpaceDE/>
              <w:autoSpaceDN/>
              <w:bidi w:val="0"/>
              <w:spacing w:after="0" w:line="240" w:lineRule="atLeast"/>
              <w:jc w:val="both"/>
              <w:rPr>
                <w:rFonts w:hint="eastAsia" w:ascii="宋体" w:hAnsi="宋体" w:eastAsia="宋体" w:cs="宋体"/>
                <w:i w:val="0"/>
                <w:iCs w:val="0"/>
                <w:color w:val="000000" w:themeColor="text1"/>
                <w:sz w:val="24"/>
                <w:szCs w:val="24"/>
                <w:u w:val="none"/>
                <w14:textFill>
                  <w14:solidFill>
                    <w14:schemeClr w14:val="tx1"/>
                  </w14:solidFill>
                </w14:textFill>
              </w:rPr>
            </w:pPr>
          </w:p>
        </w:tc>
        <w:tc>
          <w:tcPr>
            <w:tcW w:w="2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351AA8">
            <w:pPr>
              <w:keepNext w:val="0"/>
              <w:keepLines w:val="0"/>
              <w:pageBreakBefore w:val="0"/>
              <w:widowControl/>
              <w:kinsoku/>
              <w:wordWrap/>
              <w:overflowPunct/>
              <w:topLinePunct w:val="0"/>
              <w:autoSpaceDE/>
              <w:autoSpaceDN/>
              <w:bidi w:val="0"/>
              <w:spacing w:after="0" w:line="240" w:lineRule="atLeast"/>
              <w:jc w:val="both"/>
              <w:rPr>
                <w:rFonts w:hint="eastAsia" w:ascii="宋体" w:hAnsi="宋体" w:eastAsia="宋体" w:cs="宋体"/>
                <w:i w:val="0"/>
                <w:iCs w:val="0"/>
                <w:color w:val="000000" w:themeColor="text1"/>
                <w:sz w:val="24"/>
                <w:szCs w:val="24"/>
                <w:u w:val="none"/>
                <w14:textFill>
                  <w14:solidFill>
                    <w14:schemeClr w14:val="tx1"/>
                  </w14:solidFill>
                </w14:textFill>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2BDD93">
            <w:pPr>
              <w:keepNext w:val="0"/>
              <w:keepLines w:val="0"/>
              <w:pageBreakBefore w:val="0"/>
              <w:widowControl/>
              <w:kinsoku/>
              <w:wordWrap/>
              <w:overflowPunct/>
              <w:topLinePunct w:val="0"/>
              <w:autoSpaceDE/>
              <w:autoSpaceDN/>
              <w:bidi w:val="0"/>
              <w:spacing w:after="0" w:line="240" w:lineRule="atLeast"/>
              <w:jc w:val="both"/>
              <w:rPr>
                <w:rFonts w:hint="eastAsia" w:ascii="宋体" w:hAnsi="宋体" w:eastAsia="宋体" w:cs="宋体"/>
                <w:i w:val="0"/>
                <w:iCs w:val="0"/>
                <w:color w:val="000000" w:themeColor="text1"/>
                <w:sz w:val="24"/>
                <w:szCs w:val="24"/>
                <w:u w:val="none"/>
                <w14:textFill>
                  <w14:solidFill>
                    <w14:schemeClr w14:val="tx1"/>
                  </w14:solidFill>
                </w14:textFill>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C8398">
            <w:pPr>
              <w:keepNext w:val="0"/>
              <w:keepLines w:val="0"/>
              <w:pageBreakBefore w:val="0"/>
              <w:widowControl/>
              <w:kinsoku/>
              <w:wordWrap/>
              <w:overflowPunct/>
              <w:topLinePunct w:val="0"/>
              <w:autoSpaceDE/>
              <w:autoSpaceDN/>
              <w:bidi w:val="0"/>
              <w:spacing w:after="0" w:line="240" w:lineRule="atLeast"/>
              <w:jc w:val="both"/>
              <w:rPr>
                <w:rFonts w:hint="eastAsia" w:ascii="宋体" w:hAnsi="宋体" w:eastAsia="宋体" w:cs="宋体"/>
                <w:i w:val="0"/>
                <w:iCs w:val="0"/>
                <w:color w:val="000000" w:themeColor="text1"/>
                <w:sz w:val="24"/>
                <w:szCs w:val="24"/>
                <w:u w:val="none"/>
                <w14:textFill>
                  <w14:solidFill>
                    <w14:schemeClr w14:val="tx1"/>
                  </w14:solidFill>
                </w14:textFill>
              </w:rPr>
            </w:pPr>
          </w:p>
        </w:tc>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A423A0">
            <w:pPr>
              <w:keepNext w:val="0"/>
              <w:keepLines w:val="0"/>
              <w:pageBreakBefore w:val="0"/>
              <w:widowControl/>
              <w:kinsoku/>
              <w:wordWrap/>
              <w:overflowPunct/>
              <w:topLinePunct w:val="0"/>
              <w:autoSpaceDE/>
              <w:autoSpaceDN/>
              <w:bidi w:val="0"/>
              <w:spacing w:after="0" w:line="240" w:lineRule="atLeast"/>
              <w:jc w:val="both"/>
              <w:rPr>
                <w:rFonts w:hint="eastAsia" w:ascii="宋体" w:hAnsi="宋体" w:eastAsia="宋体" w:cs="宋体"/>
                <w:i w:val="0"/>
                <w:iCs w:val="0"/>
                <w:color w:val="000000" w:themeColor="text1"/>
                <w:sz w:val="24"/>
                <w:szCs w:val="24"/>
                <w:u w:val="none"/>
                <w14:textFill>
                  <w14:solidFill>
                    <w14:schemeClr w14:val="tx1"/>
                  </w14:solidFill>
                </w14:textFill>
              </w:rPr>
            </w:pPr>
          </w:p>
        </w:tc>
      </w:tr>
      <w:tr w14:paraId="27EDCA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5" w:hRule="atLeast"/>
        </w:trPr>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D9FAB1">
            <w:pPr>
              <w:keepNext w:val="0"/>
              <w:keepLines w:val="0"/>
              <w:pageBreakBefore w:val="0"/>
              <w:widowControl/>
              <w:suppressLineNumbers w:val="0"/>
              <w:kinsoku/>
              <w:wordWrap/>
              <w:overflowPunct/>
              <w:topLinePunct w:val="0"/>
              <w:autoSpaceDE/>
              <w:autoSpaceDN/>
              <w:bidi w:val="0"/>
              <w:spacing w:after="0" w:line="240" w:lineRule="atLeast"/>
              <w:jc w:val="both"/>
              <w:textAlignment w:val="center"/>
              <w:rPr>
                <w:rFonts w:hint="eastAsia" w:ascii="宋体" w:hAnsi="宋体" w:eastAsia="宋体" w:cs="宋体"/>
                <w:i w:val="0"/>
                <w:iCs w:val="0"/>
                <w:color w:val="000000" w:themeColor="text1"/>
                <w:sz w:val="24"/>
                <w:szCs w:val="24"/>
                <w:u w:val="none"/>
                <w14:textFill>
                  <w14:solidFill>
                    <w14:schemeClr w14:val="tx1"/>
                  </w14:solidFill>
                </w14:textFill>
              </w:rPr>
            </w:pPr>
            <w: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t>6</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12756B">
            <w:pPr>
              <w:keepNext w:val="0"/>
              <w:keepLines w:val="0"/>
              <w:pageBreakBefore w:val="0"/>
              <w:widowControl/>
              <w:kinsoku/>
              <w:wordWrap/>
              <w:overflowPunct/>
              <w:topLinePunct w:val="0"/>
              <w:autoSpaceDE/>
              <w:autoSpaceDN/>
              <w:bidi w:val="0"/>
              <w:spacing w:after="0" w:line="240" w:lineRule="atLeast"/>
              <w:ind w:firstLine="0" w:firstLineChars="0"/>
              <w:jc w:val="both"/>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电子班牌</w:t>
            </w:r>
          </w:p>
        </w:tc>
        <w:tc>
          <w:tcPr>
            <w:tcW w:w="6289" w:type="dxa"/>
            <w:tcBorders>
              <w:top w:val="single" w:color="000000" w:sz="4" w:space="0"/>
              <w:left w:val="single" w:color="000000" w:sz="4" w:space="0"/>
              <w:bottom w:val="single" w:color="000000" w:sz="4" w:space="0"/>
              <w:right w:val="single" w:color="000000" w:sz="4" w:space="0"/>
            </w:tcBorders>
            <w:shd w:val="clear" w:color="auto" w:fill="auto"/>
            <w:vAlign w:val="top"/>
          </w:tcPr>
          <w:p w14:paraId="6E411290">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硬件性能要求：</w:t>
            </w:r>
          </w:p>
          <w:p w14:paraId="49855D47">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1、电容触控屏≥21.5英寸；RAM：≥2G；ROM：≥8G。</w:t>
            </w:r>
          </w:p>
          <w:p w14:paraId="77C5487F">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2、内置≥200万像素宽动态人脸识别摄像头。</w:t>
            </w:r>
          </w:p>
          <w:p w14:paraId="74FCE6B2">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3、支持广角拍摄；支持活体检测。</w:t>
            </w:r>
          </w:p>
          <w:p w14:paraId="0ADC05AA">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4、内置读卡器，音响，拾音器。</w:t>
            </w:r>
          </w:p>
          <w:p w14:paraId="2FF4C3FE">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5、支持有线、WIFI无线等联网方式；支持贴墙无缝隙安装。</w:t>
            </w:r>
          </w:p>
          <w:p w14:paraId="327C4F78">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软件功能要求：</w:t>
            </w:r>
          </w:p>
          <w:p w14:paraId="3ED74FBF">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6、支持学校机构、日期、天气、班级信息、值日信息、风采资料、倒计时、通知新闻等综合信息展示；支持多版面功能，包含常规班牌版面、菜单式版面；支持隐藏班牌应用。</w:t>
            </w:r>
          </w:p>
          <w:p w14:paraId="0D450020">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7、支持通过电子班牌刷卡或刷脸登录个人中心，并能查看我的课表、我的考勤、我的作业、德育评价、消费记录等信息，同时提供发起请假申请、家校留言等功能。</w:t>
            </w:r>
          </w:p>
          <w:p w14:paraId="775A9BB0">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8、支持进出校功能，卡片式展示学生进出校数据；支持班级活动展示及报名，包含活动名称、活动时间、参与人数、活动状态等。支持返校报到，支持刷校园卡、人脸进行身份确认；支持确认返校，包含个人信息、离校去向、计划离校时间、实际离校时间、计划返校时间、返校预警状态等功能。</w:t>
            </w:r>
          </w:p>
          <w:p w14:paraId="5A22225B">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9、支持奖惩信息展示，包含奖惩信息、人员信息、奖项描述、奖项照片等；支持通过班牌进行德育打分；功能包含但不限于：班级德育分数、本学期加（减）分、加（减）分次数、个人操行查询、本班学生操行等。</w:t>
            </w:r>
          </w:p>
          <w:p w14:paraId="21663EAF">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10、支持人脸、校园卡进入物联中心，以管理物联网设施设备；支持同步统计课堂考勤动态，包含自定义考勤时间、实到人数、迟到人数、请假人数等。</w:t>
            </w:r>
          </w:p>
          <w:p w14:paraId="4267FC34">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11、支持展示课表信息，包含课程名称、节次、时间、教师信息等；支持返校状态提醒、销假、返校拍照等功能；支持安保人员离校拍照或人脸确认离校功能。</w:t>
            </w:r>
          </w:p>
          <w:p w14:paraId="1D291314">
            <w:pPr>
              <w:pStyle w:val="18"/>
              <w:jc w:val="left"/>
              <w:rPr>
                <w:rStyle w:val="20"/>
                <w:rFonts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12、支持软硬结合管理学生请假功能。</w:t>
            </w:r>
          </w:p>
          <w:p w14:paraId="59BC5AFB">
            <w:pPr>
              <w:pStyle w:val="18"/>
              <w:jc w:val="both"/>
              <w:rPr>
                <w:rStyle w:val="20"/>
                <w:rFonts w:hint="eastAsia" w:asciiTheme="minorEastAsia" w:hAnsiTheme="minorEastAsia" w:eastAsiaTheme="minorEastAsia" w:cstheme="minorEastAsia"/>
                <w:color w:val="auto"/>
                <w:sz w:val="24"/>
                <w:szCs w:val="24"/>
                <w:lang w:val="en-US" w:eastAsia="zh-CN" w:bidi="ar"/>
              </w:rPr>
            </w:pPr>
            <w:r>
              <w:rPr>
                <w:rStyle w:val="20"/>
                <w:rFonts w:asciiTheme="minorEastAsia" w:hAnsiTheme="minorEastAsia" w:eastAsiaTheme="minorEastAsia" w:cstheme="minorEastAsia"/>
                <w:color w:val="auto"/>
                <w:sz w:val="24"/>
                <w:szCs w:val="24"/>
                <w:lang w:val="en-US" w:eastAsia="zh-CN" w:bidi="ar"/>
              </w:rPr>
              <w:t>13、除上述要求外，所投产品其他要求符合GB/T 25000.51-2016《系统与软件工程系统与软件质量要求和评价(SQuaRE)第51部分:就绪可用软件产品(RUSP)的质量要求和测试细则》要求。</w:t>
            </w:r>
          </w:p>
        </w:tc>
        <w:tc>
          <w:tcPr>
            <w:tcW w:w="2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D35CCB">
            <w:pPr>
              <w:widowControl/>
              <w:spacing w:line="240" w:lineRule="auto"/>
              <w:ind w:firstLine="0" w:firstLineChars="0"/>
              <w:jc w:val="both"/>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台</w:t>
            </w:r>
          </w:p>
        </w:tc>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5D8D01">
            <w:pPr>
              <w:widowControl/>
              <w:spacing w:line="240" w:lineRule="auto"/>
              <w:ind w:firstLine="0" w:firstLineChars="0"/>
              <w:jc w:val="both"/>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135</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2ECCC7">
            <w:pPr>
              <w:keepNext w:val="0"/>
              <w:keepLines w:val="0"/>
              <w:pageBreakBefore w:val="0"/>
              <w:widowControl/>
              <w:kinsoku/>
              <w:wordWrap/>
              <w:overflowPunct/>
              <w:topLinePunct w:val="0"/>
              <w:autoSpaceDE/>
              <w:autoSpaceDN/>
              <w:bidi w:val="0"/>
              <w:spacing w:after="0" w:line="240" w:lineRule="atLeast"/>
              <w:jc w:val="both"/>
              <w:rPr>
                <w:rFonts w:hint="eastAsia" w:ascii="宋体" w:hAnsi="宋体" w:eastAsia="宋体" w:cs="宋体"/>
                <w:i w:val="0"/>
                <w:iCs w:val="0"/>
                <w:color w:val="000000" w:themeColor="text1"/>
                <w:sz w:val="24"/>
                <w:szCs w:val="24"/>
                <w:u w:val="none"/>
                <w14:textFill>
                  <w14:solidFill>
                    <w14:schemeClr w14:val="tx1"/>
                  </w14:solidFill>
                </w14:textFill>
              </w:rPr>
            </w:pPr>
          </w:p>
        </w:tc>
        <w:tc>
          <w:tcPr>
            <w:tcW w:w="2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FD35FD">
            <w:pPr>
              <w:keepNext w:val="0"/>
              <w:keepLines w:val="0"/>
              <w:pageBreakBefore w:val="0"/>
              <w:widowControl/>
              <w:kinsoku/>
              <w:wordWrap/>
              <w:overflowPunct/>
              <w:topLinePunct w:val="0"/>
              <w:autoSpaceDE/>
              <w:autoSpaceDN/>
              <w:bidi w:val="0"/>
              <w:spacing w:after="0" w:line="240" w:lineRule="atLeast"/>
              <w:jc w:val="both"/>
              <w:rPr>
                <w:rFonts w:hint="eastAsia" w:ascii="宋体" w:hAnsi="宋体" w:eastAsia="宋体" w:cs="宋体"/>
                <w:i w:val="0"/>
                <w:iCs w:val="0"/>
                <w:color w:val="000000" w:themeColor="text1"/>
                <w:sz w:val="24"/>
                <w:szCs w:val="24"/>
                <w:u w:val="none"/>
                <w14:textFill>
                  <w14:solidFill>
                    <w14:schemeClr w14:val="tx1"/>
                  </w14:solidFill>
                </w14:textFill>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C3B47">
            <w:pPr>
              <w:keepNext w:val="0"/>
              <w:keepLines w:val="0"/>
              <w:pageBreakBefore w:val="0"/>
              <w:widowControl/>
              <w:kinsoku/>
              <w:wordWrap/>
              <w:overflowPunct/>
              <w:topLinePunct w:val="0"/>
              <w:autoSpaceDE/>
              <w:autoSpaceDN/>
              <w:bidi w:val="0"/>
              <w:spacing w:after="0" w:line="240" w:lineRule="atLeast"/>
              <w:jc w:val="both"/>
              <w:rPr>
                <w:rFonts w:hint="eastAsia" w:ascii="宋体" w:hAnsi="宋体" w:eastAsia="宋体" w:cs="宋体"/>
                <w:i w:val="0"/>
                <w:iCs w:val="0"/>
                <w:color w:val="000000" w:themeColor="text1"/>
                <w:sz w:val="24"/>
                <w:szCs w:val="24"/>
                <w:u w:val="none"/>
                <w14:textFill>
                  <w14:solidFill>
                    <w14:schemeClr w14:val="tx1"/>
                  </w14:solidFill>
                </w14:textFill>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9B35B">
            <w:pPr>
              <w:keepNext w:val="0"/>
              <w:keepLines w:val="0"/>
              <w:pageBreakBefore w:val="0"/>
              <w:widowControl/>
              <w:kinsoku/>
              <w:wordWrap/>
              <w:overflowPunct/>
              <w:topLinePunct w:val="0"/>
              <w:autoSpaceDE/>
              <w:autoSpaceDN/>
              <w:bidi w:val="0"/>
              <w:spacing w:after="0" w:line="240" w:lineRule="atLeast"/>
              <w:jc w:val="both"/>
              <w:rPr>
                <w:rFonts w:hint="eastAsia" w:ascii="宋体" w:hAnsi="宋体" w:eastAsia="宋体" w:cs="宋体"/>
                <w:i w:val="0"/>
                <w:iCs w:val="0"/>
                <w:color w:val="000000" w:themeColor="text1"/>
                <w:sz w:val="24"/>
                <w:szCs w:val="24"/>
                <w:u w:val="none"/>
                <w14:textFill>
                  <w14:solidFill>
                    <w14:schemeClr w14:val="tx1"/>
                  </w14:solidFill>
                </w14:textFill>
              </w:rPr>
            </w:pPr>
          </w:p>
        </w:tc>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761AD3">
            <w:pPr>
              <w:keepNext w:val="0"/>
              <w:keepLines w:val="0"/>
              <w:pageBreakBefore w:val="0"/>
              <w:widowControl/>
              <w:suppressLineNumbers w:val="0"/>
              <w:kinsoku/>
              <w:wordWrap/>
              <w:overflowPunct/>
              <w:topLinePunct w:val="0"/>
              <w:autoSpaceDE/>
              <w:autoSpaceDN/>
              <w:bidi w:val="0"/>
              <w:spacing w:after="0" w:line="240" w:lineRule="atLeast"/>
              <w:jc w:val="both"/>
              <w:textAlignment w:val="center"/>
              <w:rPr>
                <w:rFonts w:hint="eastAsia" w:ascii="宋体" w:hAnsi="宋体" w:eastAsia="宋体" w:cs="宋体"/>
                <w:i w:val="0"/>
                <w:iCs w:val="0"/>
                <w:color w:val="000000" w:themeColor="text1"/>
                <w:sz w:val="24"/>
                <w:szCs w:val="24"/>
                <w:u w:val="none"/>
                <w14:textFill>
                  <w14:solidFill>
                    <w14:schemeClr w14:val="tx1"/>
                  </w14:solidFill>
                </w14:textFill>
              </w:rPr>
            </w:pPr>
          </w:p>
        </w:tc>
      </w:tr>
      <w:tr w14:paraId="246AE9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10" w:hRule="atLeast"/>
        </w:trPr>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D4F964">
            <w:pPr>
              <w:keepNext w:val="0"/>
              <w:keepLines w:val="0"/>
              <w:pageBreakBefore w:val="0"/>
              <w:widowControl/>
              <w:suppressLineNumbers w:val="0"/>
              <w:kinsoku/>
              <w:wordWrap/>
              <w:overflowPunct/>
              <w:topLinePunct w:val="0"/>
              <w:autoSpaceDE/>
              <w:autoSpaceDN/>
              <w:bidi w:val="0"/>
              <w:spacing w:after="0" w:line="240" w:lineRule="atLeast"/>
              <w:jc w:val="both"/>
              <w:textAlignment w:val="center"/>
              <w:rPr>
                <w:rFonts w:hint="eastAsia" w:ascii="宋体" w:hAnsi="宋体" w:eastAsia="宋体" w:cs="宋体"/>
                <w:i w:val="0"/>
                <w:iCs w:val="0"/>
                <w:color w:val="000000" w:themeColor="text1"/>
                <w:sz w:val="24"/>
                <w:szCs w:val="24"/>
                <w:u w:val="none"/>
                <w14:textFill>
                  <w14:solidFill>
                    <w14:schemeClr w14:val="tx1"/>
                  </w14:solidFill>
                </w14:textFill>
              </w:rPr>
            </w:pPr>
            <w: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t>7</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76551D">
            <w:pPr>
              <w:keepNext w:val="0"/>
              <w:keepLines w:val="0"/>
              <w:pageBreakBefore w:val="0"/>
              <w:widowControl/>
              <w:kinsoku/>
              <w:wordWrap/>
              <w:overflowPunct/>
              <w:topLinePunct w:val="0"/>
              <w:autoSpaceDE/>
              <w:autoSpaceDN/>
              <w:bidi w:val="0"/>
              <w:spacing w:after="0" w:line="240" w:lineRule="atLeast"/>
              <w:ind w:firstLine="0" w:firstLineChars="0"/>
              <w:jc w:val="both"/>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安装与辅材</w:t>
            </w:r>
          </w:p>
        </w:tc>
        <w:tc>
          <w:tcPr>
            <w:tcW w:w="2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7A93A9">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Theme="minorEastAsia" w:hAnsiTheme="minorEastAsia" w:eastAsiaTheme="minorEastAsia" w:cstheme="minorEastAsia"/>
                <w:color w:val="auto"/>
                <w:sz w:val="24"/>
                <w:szCs w:val="24"/>
                <w:u w:val="none"/>
                <w:lang w:val="en-US" w:eastAsia="zh-CN" w:bidi="ar"/>
              </w:rPr>
            </w:pPr>
            <w:r>
              <w:rPr>
                <w:rStyle w:val="20"/>
                <w:rFonts w:hint="eastAsia" w:asciiTheme="minorEastAsia" w:hAnsiTheme="minorEastAsia" w:eastAsiaTheme="minorEastAsia" w:cstheme="minorEastAsia"/>
                <w:color w:val="auto"/>
                <w:sz w:val="24"/>
                <w:szCs w:val="24"/>
                <w:lang w:val="en-US" w:eastAsia="zh-CN" w:bidi="ar"/>
              </w:rPr>
              <w:t>包含项目实施所需的正品6类RJ45水晶头及护套</w:t>
            </w:r>
            <w:r>
              <w:rPr>
                <w:rStyle w:val="20"/>
                <w:rFonts w:hint="eastAsia" w:asciiTheme="minorEastAsia" w:hAnsiTheme="minorEastAsia" w:cstheme="minorEastAsia"/>
                <w:color w:val="auto"/>
                <w:sz w:val="24"/>
                <w:szCs w:val="24"/>
                <w:lang w:val="en-US" w:eastAsia="zh-CN" w:bidi="ar"/>
              </w:rPr>
              <w:t>、</w:t>
            </w:r>
            <w:r>
              <w:rPr>
                <w:rStyle w:val="20"/>
                <w:rFonts w:hint="eastAsia" w:asciiTheme="minorEastAsia" w:hAnsiTheme="minorEastAsia" w:eastAsiaTheme="minorEastAsia" w:cstheme="minorEastAsia"/>
                <w:color w:val="auto"/>
                <w:sz w:val="24"/>
                <w:szCs w:val="24"/>
                <w:lang w:val="en-US" w:eastAsia="zh-CN" w:bidi="ar"/>
              </w:rPr>
              <w:t>6类以太网双绞线、插线板、PVC管、打孔开槽及恢复、安装辅材、设备调试上墙，人工，售后等。</w:t>
            </w:r>
          </w:p>
        </w:tc>
        <w:tc>
          <w:tcPr>
            <w:tcW w:w="2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4ED546">
            <w:pPr>
              <w:widowControl/>
              <w:spacing w:line="240" w:lineRule="auto"/>
              <w:ind w:firstLine="0" w:firstLineChars="0"/>
              <w:jc w:val="both"/>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项</w:t>
            </w:r>
          </w:p>
        </w:tc>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1CC9CB">
            <w:pPr>
              <w:widowControl/>
              <w:spacing w:line="240" w:lineRule="auto"/>
              <w:ind w:firstLine="0" w:firstLineChars="0"/>
              <w:jc w:val="both"/>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1</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7500FB">
            <w:pPr>
              <w:keepNext w:val="0"/>
              <w:keepLines w:val="0"/>
              <w:pageBreakBefore w:val="0"/>
              <w:widowControl/>
              <w:kinsoku/>
              <w:wordWrap/>
              <w:overflowPunct/>
              <w:topLinePunct w:val="0"/>
              <w:autoSpaceDE/>
              <w:autoSpaceDN/>
              <w:bidi w:val="0"/>
              <w:spacing w:after="0" w:line="240" w:lineRule="atLeast"/>
              <w:jc w:val="both"/>
              <w:rPr>
                <w:rFonts w:hint="eastAsia" w:ascii="宋体" w:hAnsi="宋体" w:eastAsia="宋体" w:cs="宋体"/>
                <w:i w:val="0"/>
                <w:iCs w:val="0"/>
                <w:color w:val="000000" w:themeColor="text1"/>
                <w:sz w:val="24"/>
                <w:szCs w:val="24"/>
                <w:u w:val="none"/>
                <w14:textFill>
                  <w14:solidFill>
                    <w14:schemeClr w14:val="tx1"/>
                  </w14:solidFill>
                </w14:textFill>
              </w:rPr>
            </w:pPr>
          </w:p>
        </w:tc>
        <w:tc>
          <w:tcPr>
            <w:tcW w:w="2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61B671">
            <w:pPr>
              <w:keepNext w:val="0"/>
              <w:keepLines w:val="0"/>
              <w:pageBreakBefore w:val="0"/>
              <w:widowControl/>
              <w:kinsoku/>
              <w:wordWrap/>
              <w:overflowPunct/>
              <w:topLinePunct w:val="0"/>
              <w:autoSpaceDE/>
              <w:autoSpaceDN/>
              <w:bidi w:val="0"/>
              <w:spacing w:after="0" w:line="240" w:lineRule="atLeast"/>
              <w:jc w:val="both"/>
              <w:rPr>
                <w:rFonts w:hint="eastAsia" w:ascii="宋体" w:hAnsi="宋体" w:eastAsia="宋体" w:cs="宋体"/>
                <w:i w:val="0"/>
                <w:iCs w:val="0"/>
                <w:color w:val="000000" w:themeColor="text1"/>
                <w:sz w:val="24"/>
                <w:szCs w:val="24"/>
                <w:u w:val="none"/>
                <w14:textFill>
                  <w14:solidFill>
                    <w14:schemeClr w14:val="tx1"/>
                  </w14:solidFill>
                </w14:textFill>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47666">
            <w:pPr>
              <w:keepNext w:val="0"/>
              <w:keepLines w:val="0"/>
              <w:pageBreakBefore w:val="0"/>
              <w:widowControl/>
              <w:kinsoku/>
              <w:wordWrap/>
              <w:overflowPunct/>
              <w:topLinePunct w:val="0"/>
              <w:autoSpaceDE/>
              <w:autoSpaceDN/>
              <w:bidi w:val="0"/>
              <w:spacing w:after="0" w:line="240" w:lineRule="atLeast"/>
              <w:jc w:val="both"/>
              <w:rPr>
                <w:rFonts w:hint="eastAsia" w:ascii="宋体" w:hAnsi="宋体" w:eastAsia="宋体" w:cs="宋体"/>
                <w:i w:val="0"/>
                <w:iCs w:val="0"/>
                <w:color w:val="000000" w:themeColor="text1"/>
                <w:sz w:val="24"/>
                <w:szCs w:val="24"/>
                <w:u w:val="none"/>
                <w14:textFill>
                  <w14:solidFill>
                    <w14:schemeClr w14:val="tx1"/>
                  </w14:solidFill>
                </w14:textFill>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0C8FB">
            <w:pPr>
              <w:keepNext w:val="0"/>
              <w:keepLines w:val="0"/>
              <w:pageBreakBefore w:val="0"/>
              <w:widowControl/>
              <w:kinsoku/>
              <w:wordWrap/>
              <w:overflowPunct/>
              <w:topLinePunct w:val="0"/>
              <w:autoSpaceDE/>
              <w:autoSpaceDN/>
              <w:bidi w:val="0"/>
              <w:spacing w:after="0" w:line="240" w:lineRule="atLeast"/>
              <w:jc w:val="both"/>
              <w:rPr>
                <w:rFonts w:hint="eastAsia" w:ascii="宋体" w:hAnsi="宋体" w:eastAsia="宋体" w:cs="宋体"/>
                <w:i w:val="0"/>
                <w:iCs w:val="0"/>
                <w:color w:val="000000" w:themeColor="text1"/>
                <w:sz w:val="24"/>
                <w:szCs w:val="24"/>
                <w:u w:val="none"/>
                <w14:textFill>
                  <w14:solidFill>
                    <w14:schemeClr w14:val="tx1"/>
                  </w14:solidFill>
                </w14:textFill>
              </w:rPr>
            </w:pPr>
          </w:p>
        </w:tc>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54046A">
            <w:pPr>
              <w:keepNext w:val="0"/>
              <w:keepLines w:val="0"/>
              <w:pageBreakBefore w:val="0"/>
              <w:widowControl/>
              <w:suppressLineNumbers w:val="0"/>
              <w:kinsoku/>
              <w:wordWrap/>
              <w:overflowPunct/>
              <w:topLinePunct w:val="0"/>
              <w:autoSpaceDE/>
              <w:autoSpaceDN/>
              <w:bidi w:val="0"/>
              <w:spacing w:after="0" w:line="240" w:lineRule="atLeast"/>
              <w:jc w:val="both"/>
              <w:textAlignment w:val="center"/>
              <w:rPr>
                <w:rFonts w:hint="eastAsia" w:ascii="宋体" w:hAnsi="宋体" w:eastAsia="宋体" w:cs="宋体"/>
                <w:i w:val="0"/>
                <w:iCs w:val="0"/>
                <w:color w:val="000000" w:themeColor="text1"/>
                <w:sz w:val="24"/>
                <w:szCs w:val="24"/>
                <w:u w:val="none"/>
                <w14:textFill>
                  <w14:solidFill>
                    <w14:schemeClr w14:val="tx1"/>
                  </w14:solidFill>
                </w14:textFill>
              </w:rPr>
            </w:pPr>
          </w:p>
        </w:tc>
      </w:tr>
    </w:tbl>
    <w:p w14:paraId="707EC35E">
      <w:pPr>
        <w:pStyle w:val="5"/>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备注：采购数量可能根据实际情况进行调整，最终以实际采购数量为准。</w:t>
      </w:r>
    </w:p>
    <w:p w14:paraId="12BB0778">
      <w:pPr>
        <w:spacing w:line="480" w:lineRule="exact"/>
        <w:ind w:firstLine="2800" w:firstLineChars="1000"/>
        <w:jc w:val="right"/>
        <w:rPr>
          <w:rFonts w:hint="eastAsia" w:ascii="宋体" w:hAnsi="宋体" w:eastAsia="宋体" w:cs="宋体"/>
          <w:sz w:val="28"/>
          <w:szCs w:val="28"/>
          <w:u w:val="single"/>
          <w:lang w:val="en-US" w:eastAsia="zh-CN"/>
        </w:rPr>
      </w:pPr>
      <w:r>
        <w:rPr>
          <w:rFonts w:hint="eastAsia" w:ascii="宋体" w:hAnsi="宋体" w:eastAsia="宋体" w:cs="宋体"/>
          <w:sz w:val="28"/>
          <w:szCs w:val="28"/>
        </w:rPr>
        <w:t>报价单位</w:t>
      </w:r>
      <w:r>
        <w:rPr>
          <w:rFonts w:hint="eastAsia" w:ascii="宋体" w:hAnsi="宋体" w:eastAsia="宋体" w:cs="宋体"/>
          <w:sz w:val="28"/>
          <w:szCs w:val="28"/>
          <w:lang w:eastAsia="zh-CN"/>
        </w:rPr>
        <w:t>：</w:t>
      </w:r>
      <w:r>
        <w:rPr>
          <w:rFonts w:hint="eastAsia" w:ascii="宋体" w:hAnsi="宋体" w:eastAsia="宋体" w:cs="宋体"/>
          <w:sz w:val="28"/>
          <w:szCs w:val="28"/>
          <w:u w:val="single"/>
          <w:lang w:val="en-US" w:eastAsia="zh-CN"/>
        </w:rPr>
        <w:t xml:space="preserve">            </w:t>
      </w:r>
      <w:r>
        <w:rPr>
          <w:rFonts w:hint="eastAsia" w:ascii="宋体" w:hAnsi="宋体" w:eastAsia="宋体" w:cs="宋体"/>
          <w:kern w:val="2"/>
          <w:sz w:val="28"/>
          <w:szCs w:val="28"/>
        </w:rPr>
        <w:t>（全称、盖章）</w:t>
      </w:r>
    </w:p>
    <w:p w14:paraId="0EDEFF9C">
      <w:pPr>
        <w:spacing w:line="480" w:lineRule="exact"/>
        <w:jc w:val="righ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日期：   年   月    日</w:t>
      </w:r>
    </w:p>
    <w:sectPr>
      <w:pgSz w:w="16838" w:h="11906" w:orient="landscape"/>
      <w:pgMar w:top="1440" w:right="1440" w:bottom="1226" w:left="1440" w:header="708" w:footer="709" w:gutter="0"/>
      <w:pgNumType w:fmt="numberInDash" w:start="1"/>
      <w:cols w:space="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60D0B9">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425753">
                          <w:pPr>
                            <w:pStyle w:val="6"/>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4425753">
                    <w:pPr>
                      <w:pStyle w:val="6"/>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948285"/>
    <w:multiLevelType w:val="singleLevel"/>
    <w:tmpl w:val="BD948285"/>
    <w:lvl w:ilvl="0" w:tentative="0">
      <w:start w:val="1"/>
      <w:numFmt w:val="chineseCounting"/>
      <w:suff w:val="nothing"/>
      <w:lvlText w:val="%1、"/>
      <w:lvlJc w:val="left"/>
      <w:rPr>
        <w:rFonts w:hint="eastAsia"/>
      </w:rPr>
    </w:lvl>
  </w:abstractNum>
  <w:abstractNum w:abstractNumId="1">
    <w:nsid w:val="14004427"/>
    <w:multiLevelType w:val="singleLevel"/>
    <w:tmpl w:val="14004427"/>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yODdkOTAxZTgyOWExMjZmMDA0MWI5NTdlMTI1NzcifQ=="/>
  </w:docVars>
  <w:rsids>
    <w:rsidRoot w:val="00000000"/>
    <w:rsid w:val="001B223C"/>
    <w:rsid w:val="02BD7118"/>
    <w:rsid w:val="040F1960"/>
    <w:rsid w:val="042B29CC"/>
    <w:rsid w:val="06884E18"/>
    <w:rsid w:val="06974D0A"/>
    <w:rsid w:val="0A42599C"/>
    <w:rsid w:val="0B681816"/>
    <w:rsid w:val="0BD56464"/>
    <w:rsid w:val="10574A60"/>
    <w:rsid w:val="134C478E"/>
    <w:rsid w:val="15D038D4"/>
    <w:rsid w:val="176F1D07"/>
    <w:rsid w:val="184A7FAA"/>
    <w:rsid w:val="1AD0204C"/>
    <w:rsid w:val="1AE51AE6"/>
    <w:rsid w:val="1B0167A6"/>
    <w:rsid w:val="1B923901"/>
    <w:rsid w:val="1C810F5C"/>
    <w:rsid w:val="206F2A21"/>
    <w:rsid w:val="21651D3E"/>
    <w:rsid w:val="23E1293E"/>
    <w:rsid w:val="29373FB6"/>
    <w:rsid w:val="29491A44"/>
    <w:rsid w:val="31DE6AA2"/>
    <w:rsid w:val="331B1C3E"/>
    <w:rsid w:val="34301016"/>
    <w:rsid w:val="3517070D"/>
    <w:rsid w:val="35865824"/>
    <w:rsid w:val="359478C3"/>
    <w:rsid w:val="38F76E2A"/>
    <w:rsid w:val="39A6165B"/>
    <w:rsid w:val="3A7B3A28"/>
    <w:rsid w:val="3CEA208C"/>
    <w:rsid w:val="3DFD6717"/>
    <w:rsid w:val="40A44847"/>
    <w:rsid w:val="411D604A"/>
    <w:rsid w:val="421A1DBC"/>
    <w:rsid w:val="4C4C0073"/>
    <w:rsid w:val="4F4345B6"/>
    <w:rsid w:val="4F7E1686"/>
    <w:rsid w:val="528569F6"/>
    <w:rsid w:val="528D621C"/>
    <w:rsid w:val="55C24FF7"/>
    <w:rsid w:val="59EA3696"/>
    <w:rsid w:val="5A9A53AC"/>
    <w:rsid w:val="5DE41146"/>
    <w:rsid w:val="5E5A53D0"/>
    <w:rsid w:val="60F16261"/>
    <w:rsid w:val="61EA0548"/>
    <w:rsid w:val="62021182"/>
    <w:rsid w:val="6A0C4F0B"/>
    <w:rsid w:val="74CA5B51"/>
    <w:rsid w:val="74EF6672"/>
    <w:rsid w:val="75045F0F"/>
    <w:rsid w:val="7A7A6EC4"/>
    <w:rsid w:val="7B451934"/>
    <w:rsid w:val="7BB302F8"/>
    <w:rsid w:val="7CAA6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10">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3">
    <w:name w:val="Normal Indent"/>
    <w:basedOn w:val="1"/>
    <w:qFormat/>
    <w:uiPriority w:val="0"/>
    <w:pPr>
      <w:adjustRightInd/>
      <w:snapToGrid/>
      <w:spacing w:after="0"/>
      <w:ind w:firstLine="420"/>
    </w:pPr>
    <w:rPr>
      <w:rFonts w:eastAsia="宋体" w:asciiTheme="minorHAnsi" w:hAnsiTheme="minorHAnsi"/>
      <w:kern w:val="2"/>
      <w:sz w:val="21"/>
    </w:rPr>
  </w:style>
  <w:style w:type="paragraph" w:styleId="4">
    <w:name w:val="Body Text"/>
    <w:basedOn w:val="1"/>
    <w:next w:val="5"/>
    <w:qFormat/>
    <w:uiPriority w:val="0"/>
    <w:pPr>
      <w:widowControl w:val="0"/>
      <w:adjustRightInd/>
      <w:snapToGrid/>
      <w:spacing w:after="0"/>
      <w:ind w:right="491"/>
      <w:jc w:val="both"/>
    </w:pPr>
    <w:rPr>
      <w:rFonts w:ascii="楷体_GB2312" w:hAnsi="Calibri"/>
      <w:kern w:val="2"/>
      <w:sz w:val="21"/>
      <w:szCs w:val="24"/>
    </w:rPr>
  </w:style>
  <w:style w:type="paragraph" w:styleId="5">
    <w:name w:val="Body Text 2"/>
    <w:basedOn w:val="1"/>
    <w:next w:val="4"/>
    <w:semiHidden/>
    <w:unhideWhenUsed/>
    <w:qFormat/>
    <w:uiPriority w:val="99"/>
    <w:pPr>
      <w:spacing w:after="120" w:line="480" w:lineRule="auto"/>
    </w:pPr>
  </w:style>
  <w:style w:type="paragraph" w:styleId="6">
    <w:name w:val="footer"/>
    <w:basedOn w:val="1"/>
    <w:link w:val="13"/>
    <w:unhideWhenUsed/>
    <w:qFormat/>
    <w:uiPriority w:val="99"/>
    <w:pPr>
      <w:tabs>
        <w:tab w:val="center" w:pos="4153"/>
        <w:tab w:val="right" w:pos="8306"/>
      </w:tabs>
    </w:pPr>
    <w:rPr>
      <w:sz w:val="18"/>
      <w:szCs w:val="18"/>
    </w:rPr>
  </w:style>
  <w:style w:type="paragraph" w:styleId="7">
    <w:name w:val="header"/>
    <w:basedOn w:val="1"/>
    <w:link w:val="12"/>
    <w:unhideWhenUsed/>
    <w:qFormat/>
    <w:uiPriority w:val="99"/>
    <w:pPr>
      <w:pBdr>
        <w:bottom w:val="single" w:color="auto" w:sz="6" w:space="1"/>
      </w:pBdr>
      <w:tabs>
        <w:tab w:val="center" w:pos="4153"/>
        <w:tab w:val="right" w:pos="8306"/>
      </w:tabs>
      <w:jc w:val="center"/>
    </w:pPr>
    <w:rPr>
      <w:sz w:val="18"/>
      <w:szCs w:val="18"/>
    </w:rPr>
  </w:style>
  <w:style w:type="paragraph" w:styleId="8">
    <w:name w:val="Normal (Web)"/>
    <w:basedOn w:val="1"/>
    <w:qFormat/>
    <w:uiPriority w:val="99"/>
    <w:pPr>
      <w:jc w:val="left"/>
    </w:pPr>
    <w:rPr>
      <w:kern w:val="0"/>
      <w:sz w:val="24"/>
    </w:rPr>
  </w:style>
  <w:style w:type="character" w:styleId="11">
    <w:name w:val="Strong"/>
    <w:basedOn w:val="10"/>
    <w:qFormat/>
    <w:uiPriority w:val="0"/>
    <w:rPr>
      <w:b/>
      <w:sz w:val="24"/>
      <w:szCs w:val="24"/>
    </w:rPr>
  </w:style>
  <w:style w:type="character" w:customStyle="1" w:styleId="12">
    <w:name w:val="页眉 Char"/>
    <w:basedOn w:val="10"/>
    <w:link w:val="7"/>
    <w:semiHidden/>
    <w:qFormat/>
    <w:uiPriority w:val="99"/>
    <w:rPr>
      <w:rFonts w:ascii="Tahoma" w:hAnsi="Tahoma"/>
      <w:sz w:val="18"/>
      <w:szCs w:val="18"/>
    </w:rPr>
  </w:style>
  <w:style w:type="character" w:customStyle="1" w:styleId="13">
    <w:name w:val="页脚 Char"/>
    <w:basedOn w:val="10"/>
    <w:link w:val="6"/>
    <w:semiHidden/>
    <w:qFormat/>
    <w:uiPriority w:val="99"/>
    <w:rPr>
      <w:rFonts w:ascii="Tahoma" w:hAnsi="Tahoma"/>
      <w:sz w:val="18"/>
      <w:szCs w:val="18"/>
    </w:rPr>
  </w:style>
  <w:style w:type="paragraph" w:customStyle="1" w:styleId="14">
    <w:name w:val="p0"/>
    <w:basedOn w:val="1"/>
    <w:qFormat/>
    <w:uiPriority w:val="0"/>
    <w:pPr>
      <w:adjustRightInd/>
      <w:snapToGrid/>
      <w:spacing w:before="100" w:beforeAutospacing="1" w:after="100" w:afterAutospacing="1"/>
    </w:pPr>
    <w:rPr>
      <w:rFonts w:ascii="宋体" w:hAnsi="宋体" w:eastAsia="宋体" w:cs="宋体"/>
      <w:sz w:val="24"/>
      <w:szCs w:val="24"/>
    </w:rPr>
  </w:style>
  <w:style w:type="paragraph" w:customStyle="1" w:styleId="15">
    <w:name w:val="List Paragraph"/>
    <w:basedOn w:val="1"/>
    <w:qFormat/>
    <w:uiPriority w:val="34"/>
    <w:pPr>
      <w:ind w:firstLine="420" w:firstLineChars="200"/>
    </w:pPr>
  </w:style>
  <w:style w:type="character" w:customStyle="1" w:styleId="16">
    <w:name w:val="font41"/>
    <w:basedOn w:val="10"/>
    <w:qFormat/>
    <w:uiPriority w:val="0"/>
    <w:rPr>
      <w:rFonts w:hint="eastAsia" w:ascii="宋体" w:hAnsi="宋体" w:eastAsia="宋体" w:cs="宋体"/>
      <w:color w:val="000000"/>
      <w:sz w:val="22"/>
      <w:szCs w:val="22"/>
      <w:u w:val="none"/>
    </w:rPr>
  </w:style>
  <w:style w:type="paragraph" w:styleId="17">
    <w:name w:val="No Spacing"/>
    <w:qFormat/>
    <w:uiPriority w:val="1"/>
    <w:pPr>
      <w:widowControl w:val="0"/>
      <w:jc w:val="both"/>
    </w:pPr>
    <w:rPr>
      <w:rFonts w:ascii="Calibri" w:hAnsi="Calibri" w:eastAsia="宋体" w:cs="Times New Roman"/>
      <w:kern w:val="2"/>
      <w:sz w:val="21"/>
      <w:szCs w:val="24"/>
      <w:lang w:val="en-US" w:eastAsia="zh-CN" w:bidi="ar-SA"/>
    </w:rPr>
  </w:style>
  <w:style w:type="paragraph" w:customStyle="1" w:styleId="18">
    <w:name w:val="null3"/>
    <w:qFormat/>
    <w:uiPriority w:val="0"/>
    <w:rPr>
      <w:rFonts w:hint="eastAsia" w:ascii="Calibri" w:hAnsi="Calibri" w:eastAsia="宋体" w:cs="Times New Roman"/>
      <w:lang w:val="en-US" w:eastAsia="zh-Hans" w:bidi="ar-SA"/>
    </w:rPr>
  </w:style>
  <w:style w:type="character" w:customStyle="1" w:styleId="19">
    <w:name w:val="font31"/>
    <w:basedOn w:val="10"/>
    <w:qFormat/>
    <w:uiPriority w:val="0"/>
    <w:rPr>
      <w:rFonts w:hint="eastAsia" w:ascii="宋体" w:hAnsi="宋体" w:eastAsia="宋体" w:cs="宋体"/>
      <w:color w:val="000000"/>
      <w:sz w:val="40"/>
      <w:szCs w:val="40"/>
      <w:u w:val="none"/>
    </w:rPr>
  </w:style>
  <w:style w:type="character" w:customStyle="1" w:styleId="20">
    <w:name w:val="font11"/>
    <w:basedOn w:val="10"/>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4421</Words>
  <Characters>4802</Characters>
  <Lines>31</Lines>
  <Paragraphs>8</Paragraphs>
  <TotalTime>3</TotalTime>
  <ScaleCrop>false</ScaleCrop>
  <LinksUpToDate>false</LinksUpToDate>
  <CharactersWithSpaces>4968</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2008-09-12T01:20:00Z</dcterms:created>
  <dc:creator>Administrator.YH--20190429GED</dc:creator>
  <cp:lastModifiedBy>幸福一生</cp:lastModifiedBy>
  <dcterms:modified xsi:type="dcterms:W3CDTF">2025-11-25T03:36:18Z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EDE44615A19C4D54980696FA8D2BC0F0_13</vt:lpwstr>
  </property>
  <property fmtid="{D5CDD505-2E9C-101B-9397-08002B2CF9AE}" pid="4" name="KSOTemplateDocerSaveRecord">
    <vt:lpwstr>eyJoZGlkIjoiZjVhNGJiMWVmZTg4ZjFhYWZhYWFiMzBkODkwYWRkZmUiLCJ1c2VySWQiOiIzNjg5NzQ0MjcifQ==</vt:lpwstr>
  </property>
</Properties>
</file>