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E43923">
      <w:pPr>
        <w:jc w:val="center"/>
        <w:rPr>
          <w:rFonts w:hint="default" w:ascii="宋体" w:hAnsi="宋体" w:eastAsia="宋体" w:cs="宋体"/>
          <w:b/>
          <w:color w:val="auto"/>
          <w:sz w:val="36"/>
          <w:szCs w:val="36"/>
          <w:highlight w:val="none"/>
          <w:lang w:val="en-US" w:eastAsia="zh-CN"/>
        </w:rPr>
      </w:pPr>
      <w:r>
        <w:rPr>
          <w:rFonts w:hint="eastAsia" w:ascii="宋体" w:hAnsi="宋体" w:eastAsia="宋体" w:cs="宋体"/>
          <w:b/>
          <w:color w:val="auto"/>
          <w:sz w:val="36"/>
          <w:szCs w:val="36"/>
          <w:highlight w:val="none"/>
          <w:lang w:val="en-US" w:eastAsia="zh-CN"/>
        </w:rPr>
        <w:t>四川省成都市财贸职业高级中学校</w:t>
      </w:r>
    </w:p>
    <w:p w14:paraId="2CEAE2C0">
      <w:pPr>
        <w:jc w:val="center"/>
        <w:rPr>
          <w:rFonts w:hint="eastAsia" w:ascii="宋体" w:hAnsi="宋体" w:eastAsia="宋体" w:cs="宋体"/>
          <w:color w:val="auto"/>
          <w:sz w:val="22"/>
          <w:szCs w:val="22"/>
          <w:highlight w:val="none"/>
        </w:rPr>
      </w:pPr>
      <w:r>
        <w:rPr>
          <w:rFonts w:hint="eastAsia" w:ascii="宋体" w:hAnsi="宋体" w:eastAsia="宋体" w:cs="宋体"/>
          <w:b/>
          <w:color w:val="auto"/>
          <w:sz w:val="36"/>
          <w:szCs w:val="36"/>
          <w:highlight w:val="none"/>
          <w:lang w:val="en-US" w:eastAsia="zh-CN"/>
        </w:rPr>
        <w:t>财贸职高智慧后厨建设项目的市场询价函</w:t>
      </w:r>
    </w:p>
    <w:p w14:paraId="5A1DE748">
      <w:pPr>
        <w:spacing w:line="240" w:lineRule="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致厂家、供应商</w:t>
      </w:r>
      <w:r>
        <w:rPr>
          <w:rFonts w:hint="eastAsia" w:ascii="宋体" w:hAnsi="宋体" w:eastAsia="宋体" w:cs="宋体"/>
          <w:b/>
          <w:bCs/>
          <w:color w:val="auto"/>
          <w:sz w:val="28"/>
          <w:szCs w:val="28"/>
          <w:highlight w:val="none"/>
        </w:rPr>
        <w:t>：</w:t>
      </w:r>
    </w:p>
    <w:p w14:paraId="62E42353">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因我校财贸职高智慧后厨建设项目（智慧食堂校园餐管理平台）采购需要，为充分了解相关设备市场定价，我校现向各供应商进行市场询价，现欢迎各潜在意向供应商前来提交密封的报价资料。该报价资料仅作为采购人采购时最高限价参考定价使用。</w:t>
      </w:r>
    </w:p>
    <w:p w14:paraId="705B34F2">
      <w:pPr>
        <w:numPr>
          <w:ilvl w:val="0"/>
          <w:numId w:val="0"/>
        </w:numPr>
        <w:spacing w:line="240" w:lineRule="auto"/>
        <w:ind w:firstLine="480" w:firstLineChars="200"/>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一、智慧食堂（校园餐管理平台）设备安装点位平面图：详见附件1</w:t>
      </w:r>
    </w:p>
    <w:p w14:paraId="2ECD0FD7">
      <w:pPr>
        <w:numPr>
          <w:ilvl w:val="0"/>
          <w:numId w:val="0"/>
        </w:numPr>
        <w:spacing w:line="240" w:lineRule="auto"/>
        <w:ind w:firstLine="960" w:firstLineChars="4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货物</w:t>
      </w:r>
      <w:r>
        <w:rPr>
          <w:rFonts w:hint="eastAsia" w:ascii="宋体" w:hAnsi="宋体" w:eastAsia="宋体" w:cs="宋体"/>
          <w:color w:val="auto"/>
          <w:sz w:val="24"/>
          <w:szCs w:val="24"/>
          <w:highlight w:val="none"/>
          <w:lang w:eastAsia="zh-CN"/>
        </w:rPr>
        <w:t>型号、数量：详见附件</w:t>
      </w:r>
      <w:r>
        <w:rPr>
          <w:rFonts w:hint="eastAsia" w:ascii="宋体" w:hAnsi="宋体" w:eastAsia="宋体" w:cs="宋体"/>
          <w:color w:val="auto"/>
          <w:sz w:val="24"/>
          <w:szCs w:val="24"/>
          <w:highlight w:val="none"/>
          <w:lang w:val="en-US" w:eastAsia="zh-CN"/>
        </w:rPr>
        <w:t>3</w:t>
      </w:r>
    </w:p>
    <w:p w14:paraId="32395D87">
      <w:pPr>
        <w:numPr>
          <w:ilvl w:val="0"/>
          <w:numId w:val="0"/>
        </w:numPr>
        <w:spacing w:line="24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lang w:eastAsia="zh-CN"/>
        </w:rPr>
        <w:t>、报价须知</w:t>
      </w:r>
    </w:p>
    <w:p w14:paraId="51FC3047">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1.报价资料的组成应按我校提供清单内容进行报价并加盖单位公章，报价应包含设备费用、运输费、装卸费、安装调试费、云平台服务费、增值税费、培训、质保、售后服务等与项目有关的一切费用；</w:t>
      </w:r>
    </w:p>
    <w:p w14:paraId="4CB2BDA5">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.报价资料须提交以下：详见报价函（附件</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、清单报价表（附件</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、营业执照复印件，上述材料均需加盖报价单位公章（纸质材料</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份，电子版1份）；</w:t>
      </w:r>
    </w:p>
    <w:p w14:paraId="66B3F0C2">
      <w:pPr>
        <w:spacing w:line="24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3.报价资料必须密封。</w:t>
      </w:r>
    </w:p>
    <w:p w14:paraId="559226D3">
      <w:pPr>
        <w:spacing w:line="24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、报价书提供时间及方式：</w:t>
      </w:r>
    </w:p>
    <w:p w14:paraId="13536677">
      <w:pPr>
        <w:spacing w:line="24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1.报价资料提交截止时间：2026年9月28日18：00前</w:t>
      </w:r>
    </w:p>
    <w:p w14:paraId="7AE4000A">
      <w:pPr>
        <w:spacing w:line="24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报价资料递交方式（可通过</w:t>
      </w:r>
      <w:r>
        <w:rPr>
          <w:rFonts w:hint="eastAsia" w:ascii="宋体" w:hAnsi="宋体" w:eastAsia="宋体" w:cs="宋体"/>
          <w:b/>
          <w:bCs/>
          <w:color w:val="auto"/>
          <w:sz w:val="24"/>
          <w:szCs w:val="24"/>
          <w:highlight w:val="none"/>
          <w:lang w:eastAsia="zh-CN"/>
        </w:rPr>
        <w:t>邮寄</w:t>
      </w:r>
      <w:r>
        <w:rPr>
          <w:rFonts w:hint="eastAsia" w:ascii="宋体" w:hAnsi="宋体" w:eastAsia="宋体" w:cs="宋体"/>
          <w:color w:val="auto"/>
          <w:sz w:val="24"/>
          <w:szCs w:val="24"/>
          <w:highlight w:val="none"/>
          <w:lang w:eastAsia="zh-CN"/>
        </w:rPr>
        <w:t>或</w:t>
      </w:r>
      <w:r>
        <w:rPr>
          <w:rFonts w:hint="eastAsia" w:ascii="宋体" w:hAnsi="宋体" w:eastAsia="宋体" w:cs="宋体"/>
          <w:b/>
          <w:bCs/>
          <w:color w:val="auto"/>
          <w:sz w:val="24"/>
          <w:szCs w:val="24"/>
          <w:highlight w:val="none"/>
          <w:lang w:eastAsia="zh-CN"/>
        </w:rPr>
        <w:t>现场</w:t>
      </w:r>
      <w:r>
        <w:rPr>
          <w:rFonts w:hint="eastAsia" w:ascii="宋体" w:hAnsi="宋体" w:eastAsia="宋体" w:cs="宋体"/>
          <w:b w:val="0"/>
          <w:bCs w:val="0"/>
          <w:color w:val="auto"/>
          <w:sz w:val="24"/>
          <w:szCs w:val="24"/>
          <w:highlight w:val="none"/>
          <w:lang w:eastAsia="zh-CN"/>
        </w:rPr>
        <w:t>递交</w:t>
      </w:r>
      <w:r>
        <w:rPr>
          <w:rFonts w:hint="eastAsia" w:ascii="宋体" w:hAnsi="宋体" w:eastAsia="宋体" w:cs="宋体"/>
          <w:color w:val="auto"/>
          <w:sz w:val="24"/>
          <w:szCs w:val="24"/>
          <w:highlight w:val="none"/>
          <w:lang w:eastAsia="zh-CN"/>
        </w:rPr>
        <w:t>）</w:t>
      </w:r>
    </w:p>
    <w:p w14:paraId="5B35D301">
      <w:pPr>
        <w:spacing w:line="24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递交地址：</w:t>
      </w:r>
      <w:r>
        <w:rPr>
          <w:rFonts w:hint="eastAsia" w:ascii="宋体" w:hAnsi="宋体" w:eastAsia="宋体" w:cs="宋体"/>
          <w:color w:val="auto"/>
          <w:sz w:val="24"/>
          <w:szCs w:val="24"/>
          <w:highlight w:val="none"/>
          <w:lang w:val="en-US" w:eastAsia="zh-CN"/>
        </w:rPr>
        <w:t>成都市金牛区西安路枣子巷26号</w:t>
      </w:r>
    </w:p>
    <w:p w14:paraId="3B6E2731">
      <w:pPr>
        <w:spacing w:line="24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联系人：</w:t>
      </w:r>
      <w:r>
        <w:rPr>
          <w:rFonts w:hint="eastAsia" w:ascii="宋体" w:hAnsi="宋体" w:eastAsia="宋体" w:cs="宋体"/>
          <w:color w:val="auto"/>
          <w:sz w:val="24"/>
          <w:szCs w:val="24"/>
          <w:highlight w:val="none"/>
          <w:lang w:val="en-US" w:eastAsia="zh-CN"/>
        </w:rPr>
        <w:t>李老师</w:t>
      </w:r>
    </w:p>
    <w:p w14:paraId="7209900E">
      <w:pPr>
        <w:spacing w:line="240" w:lineRule="auto"/>
        <w:ind w:firstLine="720" w:firstLineChars="3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联系方法：</w:t>
      </w:r>
      <w:r>
        <w:rPr>
          <w:rFonts w:hint="eastAsia" w:ascii="宋体" w:hAnsi="宋体" w:eastAsia="宋体" w:cs="宋体"/>
          <w:color w:val="auto"/>
          <w:sz w:val="24"/>
          <w:szCs w:val="24"/>
          <w:highlight w:val="none"/>
          <w:lang w:val="en-US" w:eastAsia="zh-CN"/>
        </w:rPr>
        <w:t>028-87735311</w:t>
      </w:r>
    </w:p>
    <w:p w14:paraId="5C415DE7">
      <w:pPr>
        <w:pStyle w:val="15"/>
        <w:keepNext w:val="0"/>
        <w:keepLines w:val="0"/>
        <w:pageBreakBefore w:val="0"/>
        <w:widowControl/>
        <w:shd w:val="clear" w:color="auto" w:fill="FFFFFF"/>
        <w:kinsoku/>
        <w:wordWrap/>
        <w:overflowPunct/>
        <w:topLinePunct w:val="0"/>
        <w:autoSpaceDE/>
        <w:autoSpaceDN/>
        <w:bidi w:val="0"/>
        <w:spacing w:before="0" w:beforeAutospacing="0" w:after="0" w:afterAutospacing="0" w:line="240" w:lineRule="auto"/>
        <w:ind w:firstLine="480" w:firstLineChars="200"/>
        <w:jc w:val="right"/>
        <w:textAlignment w:val="auto"/>
        <w:rPr>
          <w:rFonts w:hint="eastAsia" w:ascii="宋体" w:hAnsi="宋体" w:eastAsia="宋体" w:cs="宋体"/>
          <w:color w:val="auto"/>
          <w:sz w:val="24"/>
          <w:szCs w:val="24"/>
          <w:highlight w:val="none"/>
          <w:lang w:eastAsia="zh-CN"/>
        </w:rPr>
      </w:pPr>
    </w:p>
    <w:p w14:paraId="5F1D648D">
      <w:pPr>
        <w:pStyle w:val="15"/>
        <w:keepNext w:val="0"/>
        <w:keepLines w:val="0"/>
        <w:pageBreakBefore w:val="0"/>
        <w:widowControl/>
        <w:shd w:val="clear" w:color="auto" w:fill="FFFFFF"/>
        <w:kinsoku/>
        <w:wordWrap/>
        <w:overflowPunct/>
        <w:topLinePunct w:val="0"/>
        <w:autoSpaceDE/>
        <w:autoSpaceDN/>
        <w:bidi w:val="0"/>
        <w:spacing w:before="0" w:beforeAutospacing="0" w:after="0" w:afterAutospacing="0" w:line="240" w:lineRule="auto"/>
        <w:ind w:firstLine="480" w:firstLineChars="200"/>
        <w:jc w:val="right"/>
        <w:textAlignment w:val="auto"/>
        <w:rPr>
          <w:rFonts w:hint="eastAsia" w:cs="宋体"/>
          <w:color w:val="auto"/>
          <w:sz w:val="24"/>
          <w:szCs w:val="24"/>
          <w:highlight w:val="none"/>
          <w:lang w:val="en-US" w:eastAsia="zh-CN"/>
        </w:rPr>
      </w:pPr>
      <w:r>
        <w:rPr>
          <w:rFonts w:hint="eastAsia" w:cs="宋体"/>
          <w:color w:val="auto"/>
          <w:sz w:val="24"/>
          <w:szCs w:val="24"/>
          <w:highlight w:val="none"/>
          <w:lang w:val="en-US" w:eastAsia="zh-CN"/>
        </w:rPr>
        <w:t>四川省成都市财贸职业高级中学校</w:t>
      </w:r>
    </w:p>
    <w:p w14:paraId="016E9296">
      <w:pPr>
        <w:pStyle w:val="15"/>
        <w:keepNext w:val="0"/>
        <w:keepLines w:val="0"/>
        <w:pageBreakBefore w:val="0"/>
        <w:widowControl/>
        <w:shd w:val="clear" w:color="auto" w:fill="FFFFFF"/>
        <w:kinsoku/>
        <w:wordWrap/>
        <w:overflowPunct/>
        <w:topLinePunct w:val="0"/>
        <w:autoSpaceDE/>
        <w:autoSpaceDN/>
        <w:bidi w:val="0"/>
        <w:spacing w:before="0" w:beforeAutospacing="0" w:after="0" w:afterAutospacing="0" w:line="240" w:lineRule="auto"/>
        <w:ind w:firstLine="480" w:firstLineChars="200"/>
        <w:jc w:val="righ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2026年9月23日</w:t>
      </w:r>
    </w:p>
    <w:p w14:paraId="4A1EBA52">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p>
    <w:p w14:paraId="2EC429BB">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kern w:val="2"/>
          <w:sz w:val="28"/>
          <w:szCs w:val="28"/>
          <w:highlight w:val="none"/>
          <w:lang w:val="en-US" w:eastAsia="zh-CN"/>
        </w:rPr>
      </w:pPr>
      <w:r>
        <w:rPr>
          <w:rFonts w:hint="eastAsia" w:ascii="宋体" w:hAnsi="宋体" w:eastAsia="宋体" w:cs="宋体"/>
          <w:color w:val="auto"/>
          <w:kern w:val="2"/>
          <w:sz w:val="28"/>
          <w:szCs w:val="28"/>
          <w:highlight w:val="none"/>
        </w:rPr>
        <w:t>附件1：智慧食堂（校园餐管理平台）设备安装点位平面图</w:t>
      </w:r>
    </w:p>
    <w:p w14:paraId="1C6B69CE">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default" w:ascii="宋体" w:hAnsi="宋体" w:eastAsia="宋体" w:cs="宋体"/>
          <w:color w:val="auto"/>
          <w:kern w:val="2"/>
          <w:sz w:val="28"/>
          <w:szCs w:val="28"/>
          <w:highlight w:val="none"/>
          <w:lang w:val="en-US" w:eastAsia="zh-CN"/>
        </w:rPr>
      </w:pPr>
      <w:r>
        <w:rPr>
          <w:rFonts w:hint="default" w:ascii="宋体" w:hAnsi="宋体" w:eastAsia="宋体" w:cs="宋体"/>
          <w:color w:val="auto"/>
          <w:kern w:val="2"/>
          <w:sz w:val="28"/>
          <w:szCs w:val="28"/>
          <w:highlight w:val="none"/>
          <w:lang w:val="en-US" w:eastAsia="zh-CN"/>
        </w:rPr>
        <w:drawing>
          <wp:inline distT="0" distB="0" distL="114300" distR="114300">
            <wp:extent cx="5861685" cy="2605405"/>
            <wp:effectExtent l="0" t="0" r="5715" b="4445"/>
            <wp:docPr id="1" name="图片 1" descr="2f9e9c24-7496-4f53-873c-58365f5941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f9e9c24-7496-4f53-873c-58365f5941b9"/>
                    <pic:cNvPicPr>
                      <a:picLocks noChangeAspect="1"/>
                    </pic:cNvPicPr>
                  </pic:nvPicPr>
                  <pic:blipFill>
                    <a:blip r:embed="rId7"/>
                    <a:stretch>
                      <a:fillRect/>
                    </a:stretch>
                  </pic:blipFill>
                  <pic:spPr>
                    <a:xfrm>
                      <a:off x="0" y="0"/>
                      <a:ext cx="5861685" cy="2605405"/>
                    </a:xfrm>
                    <a:prstGeom prst="rect">
                      <a:avLst/>
                    </a:prstGeom>
                  </pic:spPr>
                </pic:pic>
              </a:graphicData>
            </a:graphic>
          </wp:inline>
        </w:drawing>
      </w:r>
    </w:p>
    <w:p w14:paraId="21988882">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default" w:ascii="宋体" w:hAnsi="宋体" w:eastAsia="宋体" w:cs="宋体"/>
          <w:color w:val="auto"/>
          <w:kern w:val="2"/>
          <w:sz w:val="28"/>
          <w:szCs w:val="28"/>
          <w:highlight w:val="none"/>
          <w:lang w:val="en-US" w:eastAsia="zh-CN"/>
        </w:rPr>
      </w:pPr>
      <w:r>
        <w:rPr>
          <w:rFonts w:hint="default" w:ascii="宋体" w:hAnsi="宋体" w:eastAsia="宋体" w:cs="宋体"/>
          <w:color w:val="auto"/>
          <w:kern w:val="2"/>
          <w:sz w:val="28"/>
          <w:szCs w:val="28"/>
          <w:highlight w:val="none"/>
          <w:lang w:val="en-US" w:eastAsia="zh-CN"/>
        </w:rPr>
        <w:drawing>
          <wp:inline distT="0" distB="0" distL="114300" distR="114300">
            <wp:extent cx="5864860" cy="2743835"/>
            <wp:effectExtent l="0" t="0" r="2540" b="18415"/>
            <wp:docPr id="3" name="图片 3" descr="af97be7b-4fd2-4027-8811-355b86bc60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f97be7b-4fd2-4027-8811-355b86bc60ee"/>
                    <pic:cNvPicPr>
                      <a:picLocks noChangeAspect="1"/>
                    </pic:cNvPicPr>
                  </pic:nvPicPr>
                  <pic:blipFill>
                    <a:blip r:embed="rId8"/>
                    <a:stretch>
                      <a:fillRect/>
                    </a:stretch>
                  </pic:blipFill>
                  <pic:spPr>
                    <a:xfrm>
                      <a:off x="0" y="0"/>
                      <a:ext cx="5864860" cy="2743835"/>
                    </a:xfrm>
                    <a:prstGeom prst="rect">
                      <a:avLst/>
                    </a:prstGeom>
                  </pic:spPr>
                </pic:pic>
              </a:graphicData>
            </a:graphic>
          </wp:inline>
        </w:drawing>
      </w:r>
    </w:p>
    <w:p w14:paraId="3086DCB5">
      <w:pPr>
        <w:pStyle w:val="3"/>
        <w:rPr>
          <w:rFonts w:hint="default" w:ascii="宋体" w:hAnsi="宋体" w:eastAsia="宋体" w:cs="宋体"/>
          <w:color w:val="auto"/>
          <w:kern w:val="2"/>
          <w:sz w:val="28"/>
          <w:szCs w:val="28"/>
          <w:highlight w:val="none"/>
          <w:lang w:val="en-US" w:eastAsia="zh-CN"/>
        </w:rPr>
      </w:pPr>
    </w:p>
    <w:p w14:paraId="19FAB378">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default" w:ascii="宋体" w:hAnsi="宋体" w:eastAsia="宋体" w:cs="宋体"/>
          <w:color w:val="auto"/>
          <w:sz w:val="28"/>
          <w:szCs w:val="28"/>
          <w:highlight w:val="none"/>
          <w:lang w:val="en-US" w:eastAsia="zh-CN" w:bidi="ar-SA"/>
        </w:rPr>
      </w:pPr>
      <w:r>
        <w:rPr>
          <w:rFonts w:hint="eastAsia" w:ascii="宋体" w:hAnsi="宋体" w:eastAsia="宋体" w:cs="宋体"/>
          <w:color w:val="auto"/>
          <w:sz w:val="28"/>
          <w:szCs w:val="28"/>
          <w:highlight w:val="none"/>
          <w:lang w:val="en-US" w:eastAsia="zh-CN" w:bidi="ar-SA"/>
        </w:rPr>
        <w:t>（设备安装点位平面图：详见项目设计及现场勘测方案）</w:t>
      </w:r>
    </w:p>
    <w:p w14:paraId="1AA4338A">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default" w:ascii="宋体" w:hAnsi="宋体" w:eastAsia="宋体" w:cs="宋体"/>
          <w:color w:val="auto"/>
          <w:sz w:val="28"/>
          <w:szCs w:val="28"/>
          <w:highlight w:val="none"/>
          <w:lang w:val="en-US" w:eastAsia="zh-CN" w:bidi="ar-SA"/>
        </w:rPr>
      </w:pPr>
    </w:p>
    <w:p w14:paraId="11173635">
      <w:pPr>
        <w:pStyle w:val="15"/>
        <w:keepNext w:val="0"/>
        <w:keepLines w:val="0"/>
        <w:pageBreakBefore w:val="0"/>
        <w:widowControl/>
        <w:shd w:val="clear" w:color="auto" w:fill="FFFFFF"/>
        <w:kinsoku/>
        <w:wordWrap/>
        <w:overflowPunct/>
        <w:topLinePunct w:val="0"/>
        <w:autoSpaceDE/>
        <w:autoSpaceDN/>
        <w:bidi w:val="0"/>
        <w:spacing w:before="0" w:beforeAutospacing="0" w:after="0" w:afterAutospacing="0" w:line="240" w:lineRule="auto"/>
        <w:ind w:firstLine="480" w:firstLineChars="200"/>
        <w:jc w:val="right"/>
        <w:textAlignment w:val="auto"/>
        <w:rPr>
          <w:rFonts w:hint="eastAsia" w:ascii="宋体" w:hAnsi="宋体" w:eastAsia="宋体" w:cs="宋体"/>
          <w:color w:val="auto"/>
          <w:sz w:val="24"/>
          <w:szCs w:val="24"/>
          <w:highlight w:val="none"/>
          <w:lang w:eastAsia="zh-CN"/>
        </w:rPr>
      </w:pPr>
    </w:p>
    <w:p w14:paraId="25756726">
      <w:pP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rPr>
        <w:br w:type="page"/>
      </w:r>
    </w:p>
    <w:p w14:paraId="0FA2D7CC">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rPr>
        <w:t>附件</w:t>
      </w:r>
      <w:r>
        <w:rPr>
          <w:rFonts w:hint="eastAsia" w:ascii="宋体" w:hAnsi="宋体" w:eastAsia="宋体" w:cs="宋体"/>
          <w:color w:val="auto"/>
          <w:kern w:val="2"/>
          <w:sz w:val="28"/>
          <w:szCs w:val="28"/>
          <w:highlight w:val="none"/>
          <w:lang w:val="en-US" w:eastAsia="zh-CN"/>
        </w:rPr>
        <w:t>2</w:t>
      </w:r>
      <w:r>
        <w:rPr>
          <w:rFonts w:hint="eastAsia" w:ascii="宋体" w:hAnsi="宋体" w:eastAsia="宋体" w:cs="宋体"/>
          <w:color w:val="auto"/>
          <w:kern w:val="2"/>
          <w:sz w:val="28"/>
          <w:szCs w:val="28"/>
          <w:highlight w:val="none"/>
        </w:rPr>
        <w:t>：</w:t>
      </w:r>
    </w:p>
    <w:p w14:paraId="1F31702E">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color w:val="auto"/>
          <w:sz w:val="44"/>
          <w:szCs w:val="44"/>
          <w:highlight w:val="none"/>
        </w:rPr>
      </w:pPr>
      <w:r>
        <w:rPr>
          <w:rFonts w:hint="eastAsia" w:ascii="宋体" w:hAnsi="宋体" w:eastAsia="宋体" w:cs="宋体"/>
          <w:b/>
          <w:color w:val="auto"/>
          <w:kern w:val="2"/>
          <w:sz w:val="44"/>
          <w:szCs w:val="44"/>
          <w:highlight w:val="none"/>
        </w:rPr>
        <w:t>报价函</w:t>
      </w:r>
    </w:p>
    <w:p w14:paraId="664DF37C">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u w:val="single"/>
        </w:rPr>
        <w:t>（以下简称“我方”）已全面阅读和研究了财贸职高智慧后厨建设项目的市场询价函，现经我方认真分析研究，我方同意提供相关设备报价，以询价函要求全部内容进行报价，并保证相关报价的真实性。我单位的报价含设备费用、运输费、装卸安装调试费、云平台服务费、增值税费、质保、售后服务等与项目有关的一切费用。</w:t>
      </w:r>
    </w:p>
    <w:p w14:paraId="27C13846">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color w:val="auto"/>
          <w:kern w:val="2"/>
          <w:sz w:val="28"/>
          <w:szCs w:val="28"/>
          <w:highlight w:val="none"/>
          <w:lang w:val="en-US" w:eastAsia="zh-CN"/>
        </w:rPr>
      </w:pPr>
      <w:r>
        <w:rPr>
          <w:rFonts w:hint="eastAsia" w:ascii="宋体" w:hAnsi="宋体" w:eastAsia="宋体" w:cs="宋体"/>
          <w:color w:val="auto"/>
          <w:kern w:val="2"/>
          <w:sz w:val="28"/>
          <w:szCs w:val="28"/>
          <w:highlight w:val="none"/>
          <w:lang w:eastAsia="zh-CN"/>
        </w:rPr>
        <w:t>具体报价详见附件3</w:t>
      </w:r>
    </w:p>
    <w:p w14:paraId="2CA6CEC3">
      <w:pPr>
        <w:spacing w:line="420" w:lineRule="exact"/>
        <w:ind w:firstLine="480"/>
        <w:rPr>
          <w:rFonts w:hint="eastAsia" w:ascii="宋体" w:hAnsi="宋体" w:eastAsia="宋体" w:cs="宋体"/>
          <w:color w:val="auto"/>
          <w:sz w:val="28"/>
          <w:szCs w:val="28"/>
          <w:highlight w:val="none"/>
        </w:rPr>
      </w:pPr>
    </w:p>
    <w:p w14:paraId="4E2893D6">
      <w:pPr>
        <w:spacing w:line="420" w:lineRule="exact"/>
        <w:ind w:firstLine="480"/>
        <w:rPr>
          <w:rFonts w:hint="eastAsia" w:ascii="宋体" w:hAnsi="宋体" w:eastAsia="宋体" w:cs="宋体"/>
          <w:color w:val="auto"/>
          <w:sz w:val="28"/>
          <w:szCs w:val="28"/>
          <w:highlight w:val="none"/>
        </w:rPr>
      </w:pPr>
    </w:p>
    <w:p w14:paraId="01C256B7">
      <w:pPr>
        <w:spacing w:line="420" w:lineRule="exact"/>
        <w:ind w:firstLine="420"/>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rPr>
        <w:t>报 价 方：</w:t>
      </w:r>
      <w:r>
        <w:rPr>
          <w:rFonts w:hint="eastAsia" w:ascii="宋体" w:hAnsi="宋体" w:eastAsia="宋体" w:cs="宋体"/>
          <w:color w:val="auto"/>
          <w:kern w:val="2"/>
          <w:sz w:val="28"/>
          <w:szCs w:val="28"/>
          <w:highlight w:val="none"/>
          <w:u w:val="single"/>
        </w:rPr>
        <w:t xml:space="preserve">                            </w:t>
      </w:r>
      <w:r>
        <w:rPr>
          <w:rFonts w:hint="eastAsia" w:ascii="宋体" w:hAnsi="宋体" w:eastAsia="宋体" w:cs="宋体"/>
          <w:color w:val="auto"/>
          <w:kern w:val="2"/>
          <w:sz w:val="28"/>
          <w:szCs w:val="28"/>
          <w:highlight w:val="none"/>
          <w:u w:val="single"/>
          <w:lang w:val="en-US" w:eastAsia="zh-CN"/>
        </w:rPr>
        <w:t xml:space="preserve"> </w:t>
      </w:r>
      <w:r>
        <w:rPr>
          <w:rFonts w:hint="eastAsia" w:ascii="宋体" w:hAnsi="宋体" w:eastAsia="宋体" w:cs="宋体"/>
          <w:color w:val="auto"/>
          <w:kern w:val="2"/>
          <w:sz w:val="28"/>
          <w:szCs w:val="28"/>
          <w:highlight w:val="none"/>
        </w:rPr>
        <w:t>（全称、盖章）</w:t>
      </w:r>
    </w:p>
    <w:p w14:paraId="0AC2A9DA">
      <w:pPr>
        <w:spacing w:line="420" w:lineRule="exact"/>
        <w:ind w:firstLine="420"/>
        <w:rPr>
          <w:rFonts w:hint="default" w:ascii="宋体" w:hAnsi="宋体" w:eastAsia="宋体" w:cs="宋体"/>
          <w:color w:val="auto"/>
          <w:kern w:val="2"/>
          <w:sz w:val="28"/>
          <w:szCs w:val="28"/>
          <w:highlight w:val="none"/>
          <w:lang w:val="en-US" w:eastAsia="zh-CN"/>
        </w:rPr>
      </w:pPr>
      <w:r>
        <w:rPr>
          <w:rFonts w:hint="eastAsia" w:ascii="宋体" w:hAnsi="宋体" w:eastAsia="宋体" w:cs="宋体"/>
          <w:color w:val="auto"/>
          <w:kern w:val="2"/>
          <w:sz w:val="28"/>
          <w:szCs w:val="28"/>
          <w:highlight w:val="none"/>
          <w:lang w:val="en-US" w:eastAsia="zh-CN"/>
        </w:rPr>
        <w:t>报价金额：</w:t>
      </w:r>
      <w:r>
        <w:rPr>
          <w:rFonts w:hint="eastAsia" w:ascii="宋体" w:hAnsi="宋体" w:eastAsia="宋体" w:cs="宋体"/>
          <w:color w:val="auto"/>
          <w:kern w:val="2"/>
          <w:sz w:val="28"/>
          <w:szCs w:val="28"/>
          <w:highlight w:val="none"/>
          <w:u w:val="single"/>
          <w:lang w:val="en-US" w:eastAsia="zh-CN"/>
        </w:rPr>
        <w:t xml:space="preserve">         元</w:t>
      </w:r>
      <w:r>
        <w:rPr>
          <w:rFonts w:hint="eastAsia" w:ascii="宋体" w:hAnsi="宋体" w:eastAsia="宋体" w:cs="宋体"/>
          <w:color w:val="auto"/>
          <w:kern w:val="2"/>
          <w:sz w:val="28"/>
          <w:szCs w:val="28"/>
          <w:highlight w:val="none"/>
          <w:lang w:val="en-US" w:eastAsia="zh-CN"/>
        </w:rPr>
        <w:t xml:space="preserve"> 大写</w:t>
      </w:r>
      <w:r>
        <w:rPr>
          <w:rFonts w:hint="eastAsia" w:ascii="宋体" w:hAnsi="宋体" w:eastAsia="宋体" w:cs="宋体"/>
          <w:color w:val="auto"/>
          <w:kern w:val="2"/>
          <w:sz w:val="28"/>
          <w:szCs w:val="28"/>
          <w:highlight w:val="none"/>
          <w:u w:val="single"/>
          <w:lang w:val="en-US" w:eastAsia="zh-CN"/>
        </w:rPr>
        <w:t xml:space="preserve">                      </w:t>
      </w:r>
      <w:r>
        <w:rPr>
          <w:rFonts w:hint="eastAsia" w:ascii="宋体" w:hAnsi="宋体" w:eastAsia="宋体" w:cs="宋体"/>
          <w:color w:val="auto"/>
          <w:kern w:val="2"/>
          <w:sz w:val="28"/>
          <w:szCs w:val="28"/>
          <w:highlight w:val="none"/>
          <w:u w:val="none"/>
          <w:lang w:val="en-US" w:eastAsia="zh-CN"/>
        </w:rPr>
        <w:t>元整</w:t>
      </w:r>
    </w:p>
    <w:p w14:paraId="66176239">
      <w:pPr>
        <w:spacing w:line="420" w:lineRule="exact"/>
        <w:ind w:firstLine="420"/>
        <w:rPr>
          <w:rFonts w:hint="eastAsia" w:ascii="宋体" w:hAnsi="宋体" w:eastAsia="宋体" w:cs="宋体"/>
          <w:color w:val="auto"/>
          <w:sz w:val="28"/>
          <w:szCs w:val="28"/>
          <w:highlight w:val="none"/>
        </w:rPr>
      </w:pPr>
      <w:r>
        <w:rPr>
          <w:rFonts w:hint="eastAsia" w:ascii="宋体" w:hAnsi="宋体" w:eastAsia="宋体" w:cs="宋体"/>
          <w:color w:val="auto"/>
          <w:kern w:val="2"/>
          <w:sz w:val="28"/>
          <w:szCs w:val="28"/>
          <w:highlight w:val="none"/>
        </w:rPr>
        <w:t>法定代表人(或负责人)：</w:t>
      </w:r>
      <w:r>
        <w:rPr>
          <w:rFonts w:hint="eastAsia" w:ascii="宋体" w:hAnsi="宋体" w:eastAsia="宋体" w:cs="宋体"/>
          <w:color w:val="auto"/>
          <w:kern w:val="2"/>
          <w:sz w:val="28"/>
          <w:szCs w:val="28"/>
          <w:highlight w:val="none"/>
          <w:u w:val="single"/>
        </w:rPr>
        <w:t xml:space="preserve">                  </w:t>
      </w:r>
      <w:r>
        <w:rPr>
          <w:rFonts w:hint="eastAsia" w:ascii="宋体" w:hAnsi="宋体" w:eastAsia="宋体" w:cs="宋体"/>
          <w:color w:val="auto"/>
          <w:kern w:val="2"/>
          <w:sz w:val="28"/>
          <w:szCs w:val="28"/>
          <w:highlight w:val="none"/>
        </w:rPr>
        <w:t>（姓名、签字）</w:t>
      </w:r>
    </w:p>
    <w:p w14:paraId="69FA27F9">
      <w:pPr>
        <w:suppressAutoHyphens/>
        <w:spacing w:line="420" w:lineRule="exact"/>
        <w:ind w:firstLine="420"/>
        <w:rPr>
          <w:rFonts w:hint="default" w:ascii="宋体" w:hAnsi="宋体" w:eastAsia="宋体" w:cs="宋体"/>
          <w:color w:val="auto"/>
          <w:sz w:val="28"/>
          <w:szCs w:val="28"/>
          <w:highlight w:val="none"/>
          <w:u w:val="single"/>
          <w:lang w:val="en-US" w:eastAsia="zh-CN"/>
        </w:rPr>
      </w:pPr>
      <w:r>
        <w:rPr>
          <w:sz w:val="28"/>
        </w:rPr>
        <mc:AlternateContent>
          <mc:Choice Requires="wps">
            <w:drawing>
              <wp:anchor distT="0" distB="0" distL="114300" distR="114300" simplePos="0" relativeHeight="251659264" behindDoc="0" locked="0" layoutInCell="1" allowOverlap="1">
                <wp:simplePos x="0" y="0"/>
                <wp:positionH relativeFrom="column">
                  <wp:posOffset>995045</wp:posOffset>
                </wp:positionH>
                <wp:positionV relativeFrom="paragraph">
                  <wp:posOffset>253365</wp:posOffset>
                </wp:positionV>
                <wp:extent cx="2720340" cy="0"/>
                <wp:effectExtent l="0" t="4445" r="0" b="5080"/>
                <wp:wrapNone/>
                <wp:docPr id="4" name="直接连接符 4"/>
                <wp:cNvGraphicFramePr/>
                <a:graphic xmlns:a="http://schemas.openxmlformats.org/drawingml/2006/main">
                  <a:graphicData uri="http://schemas.microsoft.com/office/word/2010/wordprocessingShape">
                    <wps:wsp>
                      <wps:cNvCnPr/>
                      <wps:spPr>
                        <a:xfrm>
                          <a:off x="1909445" y="6608445"/>
                          <a:ext cx="2720340" cy="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78.35pt;margin-top:19.95pt;height:0pt;width:214.2pt;z-index:251659264;mso-width-relative:page;mso-height-relative:page;" filled="f" stroked="t" coordsize="21600,21600" o:gfxdata="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JjZQzPUAAAACQEA&#10;AA8AAAAAAAAAAQAgAAAAIgAAAGRycy9kb3ducmV2LnhtbFBLAQIUABQAAAAIAIdO4kDvdO865QEA&#10;AKYDAAAOAAAAAAAAAAEAIAAAACMBAABkcnMvZTJvRG9jLnhtbFBLBQYAAAAABgAGAFkBAAB6BQAA&#10;AAA=&#10;">
                <v:fill on="f" focussize="0,0"/>
                <v:stroke weight="0.5pt" color="#000000 [3213]" joinstyle="round"/>
                <v:imagedata o:title=""/>
                <o:lock v:ext="edit" aspectratio="f"/>
              </v:line>
            </w:pict>
          </mc:Fallback>
        </mc:AlternateContent>
      </w:r>
      <w:r>
        <w:rPr>
          <w:rFonts w:hint="eastAsia" w:ascii="宋体" w:hAnsi="宋体" w:eastAsia="宋体" w:cs="宋体"/>
          <w:color w:val="auto"/>
          <w:kern w:val="2"/>
          <w:sz w:val="28"/>
          <w:szCs w:val="28"/>
          <w:highlight w:val="none"/>
        </w:rPr>
        <w:t>地  址：</w:t>
      </w:r>
    </w:p>
    <w:p w14:paraId="2C58B272">
      <w:pPr>
        <w:suppressAutoHyphens/>
        <w:spacing w:line="420" w:lineRule="exact"/>
        <w:ind w:firstLine="420"/>
        <w:rPr>
          <w:rFonts w:hint="eastAsia" w:ascii="宋体" w:hAnsi="宋体" w:eastAsia="宋体" w:cs="宋体"/>
          <w:color w:val="auto"/>
          <w:sz w:val="28"/>
          <w:szCs w:val="28"/>
          <w:highlight w:val="none"/>
          <w:u w:val="single"/>
        </w:rPr>
      </w:pPr>
      <w:r>
        <w:rPr>
          <w:rFonts w:hint="eastAsia" w:ascii="宋体" w:hAnsi="宋体" w:eastAsia="宋体" w:cs="宋体"/>
          <w:color w:val="auto"/>
          <w:kern w:val="2"/>
          <w:sz w:val="28"/>
          <w:szCs w:val="28"/>
          <w:highlight w:val="none"/>
        </w:rPr>
        <w:t>电  话：</w:t>
      </w:r>
      <w:r>
        <w:rPr>
          <w:rFonts w:hint="eastAsia" w:ascii="宋体" w:hAnsi="宋体" w:eastAsia="宋体" w:cs="宋体"/>
          <w:color w:val="auto"/>
          <w:kern w:val="2"/>
          <w:sz w:val="24"/>
          <w:szCs w:val="24"/>
          <w:highlight w:val="none"/>
        </w:rPr>
        <w:t>__________________________</w:t>
      </w:r>
    </w:p>
    <w:p w14:paraId="1CDBEE84">
      <w:pPr>
        <w:suppressAutoHyphens/>
        <w:spacing w:line="420" w:lineRule="exact"/>
        <w:ind w:firstLine="420"/>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rPr>
        <w:t>日  期：____年_____月______日</w:t>
      </w:r>
      <w:bookmarkStart w:id="0" w:name="_GoBack"/>
      <w:bookmarkEnd w:id="0"/>
    </w:p>
    <w:p w14:paraId="245395E8">
      <w:pPr>
        <w:spacing w:line="480" w:lineRule="exact"/>
        <w:rPr>
          <w:rFonts w:hint="eastAsia" w:ascii="宋体" w:hAnsi="宋体" w:eastAsia="宋体" w:cs="宋体"/>
          <w:color w:val="auto"/>
          <w:sz w:val="28"/>
          <w:szCs w:val="28"/>
          <w:highlight w:val="none"/>
        </w:rPr>
      </w:pPr>
    </w:p>
    <w:p w14:paraId="47A59870">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6A553E7E">
      <w:pPr>
        <w:keepNext w:val="0"/>
        <w:keepLines w:val="0"/>
        <w:pageBreakBefore w:val="0"/>
        <w:widowControl/>
        <w:kinsoku/>
        <w:wordWrap/>
        <w:overflowPunct/>
        <w:topLinePunct w:val="0"/>
        <w:autoSpaceDE/>
        <w:autoSpaceDN/>
        <w:bidi w:val="0"/>
        <w:adjustRightInd w:val="0"/>
        <w:snapToGrid/>
        <w:spacing w:after="0" w:line="480" w:lineRule="exact"/>
        <w:textAlignment w:val="auto"/>
        <w:rPr>
          <w:rFonts w:hint="eastAsia" w:ascii="宋体" w:hAnsi="宋体" w:eastAsia="宋体" w:cs="宋体"/>
          <w:color w:val="auto"/>
          <w:sz w:val="28"/>
          <w:szCs w:val="28"/>
          <w:highlight w:val="none"/>
        </w:rPr>
        <w:sectPr>
          <w:footerReference r:id="rId5" w:type="default"/>
          <w:pgSz w:w="11906" w:h="16838"/>
          <w:pgMar w:top="1440" w:right="1226" w:bottom="1440" w:left="1440" w:header="708" w:footer="709" w:gutter="0"/>
          <w:pgNumType w:fmt="numberInDash" w:start="1"/>
          <w:cols w:space="0" w:num="1"/>
          <w:rtlGutter w:val="0"/>
          <w:docGrid w:linePitch="360" w:charSpace="0"/>
        </w:sectPr>
      </w:pPr>
    </w:p>
    <w:tbl>
      <w:tblPr>
        <w:tblStyle w:val="9"/>
        <w:tblpPr w:leftFromText="180" w:rightFromText="180" w:vertAnchor="text" w:horzAnchor="page" w:tblpX="1289" w:tblpY="744"/>
        <w:tblOverlap w:val="never"/>
        <w:tblW w:w="500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7"/>
        <w:gridCol w:w="855"/>
        <w:gridCol w:w="6735"/>
        <w:gridCol w:w="735"/>
        <w:gridCol w:w="825"/>
        <w:gridCol w:w="750"/>
        <w:gridCol w:w="810"/>
        <w:gridCol w:w="750"/>
        <w:gridCol w:w="660"/>
        <w:gridCol w:w="1644"/>
      </w:tblGrid>
      <w:tr w14:paraId="177EA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6" w:hRule="atLeast"/>
        </w:trPr>
        <w:tc>
          <w:tcPr>
            <w:tcW w:w="5000" w:type="pct"/>
            <w:gridSpan w:val="10"/>
            <w:tcBorders>
              <w:top w:val="nil"/>
              <w:left w:val="nil"/>
              <w:bottom w:val="nil"/>
              <w:right w:val="nil"/>
            </w:tcBorders>
            <w:shd w:val="clear" w:color="auto" w:fill="auto"/>
            <w:noWrap/>
            <w:vAlign w:val="center"/>
          </w:tcPr>
          <w:p w14:paraId="7A85486C">
            <w:pPr>
              <w:keepNext w:val="0"/>
              <w:keepLines w:val="0"/>
              <w:pageBreakBefore w:val="0"/>
              <w:widowControl/>
              <w:kinsoku/>
              <w:wordWrap/>
              <w:overflowPunct/>
              <w:topLinePunct w:val="0"/>
              <w:autoSpaceDE/>
              <w:autoSpaceDN/>
              <w:bidi w:val="0"/>
              <w:adjustRightInd w:val="0"/>
              <w:snapToGrid/>
              <w:spacing w:after="0" w:line="48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附件3：清单报价表</w:t>
            </w:r>
          </w:p>
          <w:p w14:paraId="64587D33">
            <w:pPr>
              <w:keepNext w:val="0"/>
              <w:keepLines w:val="0"/>
              <w:pageBreakBefore w:val="0"/>
              <w:widowControl/>
              <w:kinsoku/>
              <w:wordWrap/>
              <w:overflowPunct/>
              <w:topLinePunct w:val="0"/>
              <w:autoSpaceDE/>
              <w:autoSpaceDN/>
              <w:bidi w:val="0"/>
              <w:adjustRightInd w:val="0"/>
              <w:snapToGrid/>
              <w:spacing w:after="0" w:line="480" w:lineRule="exact"/>
              <w:textAlignment w:val="auto"/>
              <w:rPr>
                <w:rFonts w:hint="eastAsia" w:ascii="宋体" w:hAnsi="宋体" w:eastAsia="宋体" w:cs="宋体"/>
                <w:b/>
                <w:bCs/>
                <w:i w:val="0"/>
                <w:iCs w:val="0"/>
                <w:color w:val="auto"/>
                <w:sz w:val="22"/>
                <w:szCs w:val="22"/>
                <w:highlight w:val="none"/>
                <w:u w:val="none"/>
                <w:lang w:val="en-US"/>
              </w:rPr>
            </w:pPr>
            <w:r>
              <w:rPr>
                <w:rFonts w:hint="eastAsia" w:ascii="宋体" w:hAnsi="宋体" w:eastAsia="宋体" w:cs="宋体"/>
                <w:color w:val="auto"/>
                <w:kern w:val="2"/>
                <w:sz w:val="24"/>
                <w:szCs w:val="24"/>
                <w:highlight w:val="none"/>
                <w:u w:val="single"/>
                <w:lang w:val="en-US" w:eastAsia="zh-CN"/>
              </w:rPr>
              <w:t>智慧食堂校园餐管理平台建设清单（云平台）货物型号、数量：</w:t>
            </w:r>
          </w:p>
        </w:tc>
      </w:tr>
      <w:tr w14:paraId="48973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53" w:type="pct"/>
            <w:tcBorders>
              <w:top w:val="single" w:color="000000" w:sz="4" w:space="0"/>
              <w:left w:val="single" w:color="000000" w:sz="4" w:space="0"/>
              <w:bottom w:val="single" w:color="000000" w:sz="4" w:space="0"/>
              <w:right w:val="single" w:color="000000" w:sz="4" w:space="0"/>
            </w:tcBorders>
            <w:shd w:val="clear" w:color="auto" w:fill="auto"/>
            <w:vAlign w:val="top"/>
          </w:tcPr>
          <w:p w14:paraId="4AD6E238">
            <w:pPr>
              <w:spacing w:before="120" w:after="120" w:line="288" w:lineRule="auto"/>
              <w:ind w:left="0" w:leftChars="0"/>
              <w:jc w:val="left"/>
              <w:rPr>
                <w:rFonts w:hint="eastAsia" w:ascii="宋体" w:hAnsi="宋体" w:eastAsia="宋体" w:cs="宋体"/>
                <w:b/>
                <w:bCs/>
                <w:i w:val="0"/>
                <w:iCs w:val="0"/>
                <w:color w:val="auto"/>
                <w:sz w:val="21"/>
                <w:szCs w:val="21"/>
                <w:highlight w:val="none"/>
                <w:u w:val="none"/>
              </w:rPr>
            </w:pPr>
            <w:r>
              <w:rPr>
                <w:rFonts w:ascii="Arial" w:hAnsi="Arial" w:eastAsia="等线" w:cs="Arial"/>
                <w:sz w:val="21"/>
                <w:szCs w:val="21"/>
              </w:rPr>
              <w:t>编号</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top"/>
          </w:tcPr>
          <w:p w14:paraId="322134AE">
            <w:pPr>
              <w:spacing w:before="120" w:after="120" w:line="288" w:lineRule="auto"/>
              <w:ind w:left="0" w:leftChars="0"/>
              <w:jc w:val="left"/>
              <w:rPr>
                <w:rFonts w:hint="eastAsia" w:ascii="宋体" w:hAnsi="宋体" w:eastAsia="宋体" w:cs="宋体"/>
                <w:b/>
                <w:bCs/>
                <w:i w:val="0"/>
                <w:iCs w:val="0"/>
                <w:color w:val="auto"/>
                <w:sz w:val="21"/>
                <w:szCs w:val="21"/>
                <w:highlight w:val="none"/>
                <w:u w:val="none"/>
              </w:rPr>
            </w:pPr>
            <w:r>
              <w:rPr>
                <w:rFonts w:ascii="Arial" w:hAnsi="Arial" w:eastAsia="等线" w:cs="Arial"/>
                <w:sz w:val="21"/>
                <w:szCs w:val="21"/>
              </w:rPr>
              <w:t>设备名称</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top"/>
          </w:tcPr>
          <w:p w14:paraId="03BE395F">
            <w:pPr>
              <w:spacing w:before="120" w:after="120" w:line="288" w:lineRule="auto"/>
              <w:ind w:left="0" w:leftChars="0"/>
              <w:jc w:val="left"/>
              <w:rPr>
                <w:rFonts w:hint="eastAsia" w:ascii="宋体" w:hAnsi="宋体" w:eastAsia="宋体" w:cs="宋体"/>
                <w:b/>
                <w:bCs/>
                <w:i w:val="0"/>
                <w:iCs w:val="0"/>
                <w:color w:val="auto"/>
                <w:sz w:val="21"/>
                <w:szCs w:val="21"/>
                <w:highlight w:val="none"/>
                <w:u w:val="none"/>
              </w:rPr>
            </w:pPr>
            <w:r>
              <w:rPr>
                <w:rFonts w:ascii="Arial" w:hAnsi="Arial" w:eastAsia="等线" w:cs="Arial"/>
                <w:sz w:val="21"/>
                <w:szCs w:val="21"/>
              </w:rPr>
              <w:t>主要性能指标（技术参数）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top"/>
          </w:tcPr>
          <w:p w14:paraId="413F6F6D">
            <w:pPr>
              <w:spacing w:before="120" w:after="120" w:line="288" w:lineRule="auto"/>
              <w:ind w:left="0" w:leftChars="0"/>
              <w:jc w:val="left"/>
              <w:rPr>
                <w:rFonts w:hint="eastAsia" w:ascii="宋体" w:hAnsi="宋体" w:eastAsia="宋体" w:cs="宋体"/>
                <w:b/>
                <w:bCs/>
                <w:i w:val="0"/>
                <w:iCs w:val="0"/>
                <w:color w:val="auto"/>
                <w:sz w:val="21"/>
                <w:szCs w:val="21"/>
                <w:highlight w:val="none"/>
                <w:u w:val="none"/>
              </w:rPr>
            </w:pPr>
            <w:r>
              <w:rPr>
                <w:rFonts w:ascii="Arial" w:hAnsi="Arial" w:eastAsia="等线" w:cs="Arial"/>
                <w:sz w:val="21"/>
                <w:szCs w:val="21"/>
              </w:rPr>
              <w:t>单位</w:t>
            </w:r>
          </w:p>
        </w:tc>
        <w:tc>
          <w:tcPr>
            <w:tcW w:w="290" w:type="pct"/>
            <w:tcBorders>
              <w:top w:val="single" w:color="000000" w:sz="4" w:space="0"/>
              <w:left w:val="single" w:color="000000" w:sz="4" w:space="0"/>
              <w:bottom w:val="single" w:color="000000" w:sz="4" w:space="0"/>
              <w:right w:val="single" w:color="000000" w:sz="4" w:space="0"/>
            </w:tcBorders>
            <w:shd w:val="clear" w:color="auto" w:fill="auto"/>
            <w:vAlign w:val="top"/>
          </w:tcPr>
          <w:p w14:paraId="74D763A0">
            <w:pPr>
              <w:spacing w:before="120" w:after="120" w:line="288" w:lineRule="auto"/>
              <w:ind w:left="0" w:leftChars="0"/>
              <w:jc w:val="left"/>
              <w:rPr>
                <w:rFonts w:hint="eastAsia" w:ascii="宋体" w:hAnsi="宋体" w:eastAsia="宋体" w:cs="宋体"/>
                <w:b/>
                <w:bCs/>
                <w:i w:val="0"/>
                <w:iCs w:val="0"/>
                <w:color w:val="auto"/>
                <w:sz w:val="21"/>
                <w:szCs w:val="21"/>
                <w:highlight w:val="none"/>
                <w:u w:val="none"/>
              </w:rPr>
            </w:pPr>
            <w:r>
              <w:rPr>
                <w:rFonts w:ascii="Arial" w:hAnsi="Arial" w:eastAsia="等线" w:cs="Arial"/>
                <w:sz w:val="21"/>
                <w:szCs w:val="21"/>
              </w:rPr>
              <w:t>数量</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top"/>
          </w:tcPr>
          <w:p w14:paraId="45DD3FBB">
            <w:pPr>
              <w:spacing w:before="120" w:after="120" w:line="288" w:lineRule="auto"/>
              <w:ind w:left="0" w:leftChars="0"/>
              <w:jc w:val="left"/>
              <w:rPr>
                <w:rFonts w:hint="eastAsia" w:ascii="宋体" w:hAnsi="宋体" w:eastAsia="宋体" w:cs="宋体"/>
                <w:b/>
                <w:bCs/>
                <w:i w:val="0"/>
                <w:iCs w:val="0"/>
                <w:color w:val="auto"/>
                <w:sz w:val="21"/>
                <w:szCs w:val="21"/>
                <w:highlight w:val="none"/>
                <w:u w:val="none"/>
              </w:rPr>
            </w:pPr>
            <w:r>
              <w:rPr>
                <w:rFonts w:ascii="Arial" w:hAnsi="Arial" w:eastAsia="等线" w:cs="Arial"/>
                <w:sz w:val="21"/>
                <w:szCs w:val="21"/>
              </w:rPr>
              <w:t>单价</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top"/>
          </w:tcPr>
          <w:p w14:paraId="2EAC7FA0">
            <w:pPr>
              <w:spacing w:before="120" w:after="120" w:line="288" w:lineRule="auto"/>
              <w:ind w:left="0" w:leftChars="0"/>
              <w:jc w:val="left"/>
              <w:rPr>
                <w:rFonts w:hint="eastAsia" w:ascii="宋体" w:hAnsi="宋体" w:eastAsia="宋体" w:cs="宋体"/>
                <w:b/>
                <w:bCs/>
                <w:i w:val="0"/>
                <w:iCs w:val="0"/>
                <w:color w:val="auto"/>
                <w:sz w:val="21"/>
                <w:szCs w:val="21"/>
                <w:highlight w:val="none"/>
                <w:u w:val="none"/>
              </w:rPr>
            </w:pPr>
            <w:r>
              <w:rPr>
                <w:rFonts w:ascii="Arial" w:hAnsi="Arial" w:eastAsia="等线" w:cs="Arial"/>
                <w:sz w:val="21"/>
                <w:szCs w:val="21"/>
              </w:rPr>
              <w:t>品牌</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top"/>
          </w:tcPr>
          <w:p w14:paraId="18576939">
            <w:pPr>
              <w:spacing w:before="120" w:after="120" w:line="288" w:lineRule="auto"/>
              <w:ind w:left="0" w:leftChars="0"/>
              <w:jc w:val="left"/>
              <w:rPr>
                <w:rFonts w:hint="eastAsia" w:ascii="宋体" w:hAnsi="宋体" w:eastAsia="宋体" w:cs="宋体"/>
                <w:b/>
                <w:bCs/>
                <w:i w:val="0"/>
                <w:iCs w:val="0"/>
                <w:color w:val="auto"/>
                <w:kern w:val="0"/>
                <w:sz w:val="21"/>
                <w:szCs w:val="21"/>
                <w:highlight w:val="none"/>
                <w:u w:val="none"/>
                <w:lang w:val="en-US" w:eastAsia="zh-CN" w:bidi="ar"/>
              </w:rPr>
            </w:pPr>
            <w:r>
              <w:rPr>
                <w:rFonts w:ascii="Arial" w:hAnsi="Arial" w:eastAsia="等线" w:cs="Arial"/>
                <w:sz w:val="21"/>
                <w:szCs w:val="21"/>
              </w:rPr>
              <w:t>总价</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top"/>
          </w:tcPr>
          <w:p w14:paraId="36E0088E">
            <w:pPr>
              <w:spacing w:before="120" w:after="120" w:line="288" w:lineRule="auto"/>
              <w:ind w:left="0" w:leftChars="0"/>
              <w:jc w:val="left"/>
              <w:rPr>
                <w:rFonts w:hint="eastAsia" w:ascii="宋体" w:hAnsi="宋体" w:eastAsia="宋体" w:cs="宋体"/>
                <w:b/>
                <w:bCs/>
                <w:i w:val="0"/>
                <w:iCs w:val="0"/>
                <w:color w:val="auto"/>
                <w:kern w:val="0"/>
                <w:sz w:val="21"/>
                <w:szCs w:val="21"/>
                <w:highlight w:val="none"/>
                <w:u w:val="none"/>
                <w:lang w:val="en-US" w:eastAsia="zh-CN" w:bidi="ar"/>
              </w:rPr>
            </w:pPr>
            <w:r>
              <w:rPr>
                <w:rFonts w:ascii="Arial" w:hAnsi="Arial" w:eastAsia="等线" w:cs="Arial"/>
                <w:sz w:val="21"/>
                <w:szCs w:val="21"/>
              </w:rPr>
              <w:t>型号</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top"/>
          </w:tcPr>
          <w:p w14:paraId="27D40161">
            <w:pPr>
              <w:spacing w:before="120" w:after="120" w:line="288" w:lineRule="auto"/>
              <w:ind w:left="0" w:leftChars="0"/>
              <w:jc w:val="left"/>
              <w:rPr>
                <w:rFonts w:hint="eastAsia" w:ascii="宋体" w:hAnsi="宋体" w:eastAsia="宋体" w:cs="宋体"/>
                <w:b/>
                <w:bCs/>
                <w:i w:val="0"/>
                <w:iCs w:val="0"/>
                <w:color w:val="auto"/>
                <w:kern w:val="0"/>
                <w:sz w:val="21"/>
                <w:szCs w:val="21"/>
                <w:highlight w:val="none"/>
                <w:u w:val="none"/>
                <w:lang w:val="en-US" w:eastAsia="zh-CN" w:bidi="ar"/>
              </w:rPr>
            </w:pPr>
            <w:r>
              <w:rPr>
                <w:rFonts w:ascii="Arial" w:hAnsi="Arial" w:eastAsia="等线" w:cs="Arial"/>
                <w:sz w:val="21"/>
                <w:szCs w:val="21"/>
              </w:rPr>
              <w:t>备注</w:t>
            </w:r>
          </w:p>
        </w:tc>
      </w:tr>
      <w:tr w14:paraId="50CF6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53" w:type="pct"/>
            <w:tcBorders>
              <w:top w:val="single" w:color="000000" w:sz="4" w:space="0"/>
              <w:left w:val="single" w:color="000000" w:sz="4" w:space="0"/>
              <w:bottom w:val="single" w:color="000000" w:sz="4" w:space="0"/>
              <w:right w:val="single" w:color="000000" w:sz="4" w:space="0"/>
            </w:tcBorders>
            <w:shd w:val="clear" w:color="auto" w:fill="auto"/>
            <w:vAlign w:val="top"/>
          </w:tcPr>
          <w:p w14:paraId="47AD64D4">
            <w:pPr>
              <w:spacing w:before="120" w:after="120" w:line="288" w:lineRule="auto"/>
              <w:ind w:left="0" w:leftChars="0"/>
              <w:jc w:val="left"/>
              <w:rPr>
                <w:rFonts w:hint="eastAsia" w:ascii="仿宋" w:hAnsi="仿宋" w:eastAsia="仿宋" w:cs="宋体"/>
                <w:color w:val="auto"/>
                <w:kern w:val="0"/>
                <w:sz w:val="20"/>
                <w:szCs w:val="20"/>
                <w:highlight w:val="none"/>
                <w:lang w:val="en-US" w:eastAsia="zh-CN" w:bidi="ar-SA"/>
              </w:rPr>
            </w:pPr>
            <w:r>
              <w:rPr>
                <w:rFonts w:ascii="等线" w:hAnsi="等线" w:eastAsia="等线"/>
                <w:sz w:val="21"/>
                <w:szCs w:val="21"/>
              </w:rPr>
              <w:t>1</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3C95C10">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学校食堂食品安全管理云平台</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top"/>
          </w:tcPr>
          <w:p w14:paraId="68F0562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1.通过大数据可视化看板可对辖区范围内的校区数、单位数、就餐学生、总餐位数、单位总面积、视频接入校区数、供应商数进行巡查，同时针对食堂日常工作可制定量化考核标准，针对食堂日常工作，自动统计量化考核结果，监管人员可重点关注得分较低的食堂，快速定位食堂食品安全风险。</w:t>
            </w:r>
          </w:p>
          <w:p w14:paraId="5B450E0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2.支持汇总近期采购商家排行；</w:t>
            </w:r>
          </w:p>
          <w:p w14:paraId="58E364F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3.支持汇总学校出入库情况、滚动显示近期采购价格；</w:t>
            </w:r>
          </w:p>
          <w:p w14:paraId="254D881E">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4.支持通过球体、表格、旋转、格子动态展示今日应考勤、今日已考勤、今日请休假数据；支持以地图形式显示食堂点位信息，点击可查看食堂详情，包含：餐位数、联系电话、就餐面积，民族餐厅；支持汇总综合食安指数，包括：食材验收合格率、视频监控覆盖率、人员晨检合格率、卫生消毒完成率、食安数据采集率；支持以图表形式汇总采购出入库趋势；支持智能物联感知信息汇总，包括物联网设备在线、离线数量；</w:t>
            </w:r>
          </w:p>
          <w:p w14:paraId="0C55EBC8">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5.支持汇总今日采购单数、今日验收单数、今日入库单数、今日出库单数。</w:t>
            </w:r>
          </w:p>
          <w:p w14:paraId="70296939">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6.支持轮播展示本校从业人员信息，包括但不限于：健康证、姓名、职务、入职时间、证件有效期等</w:t>
            </w:r>
          </w:p>
          <w:p w14:paraId="35DF6011">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7.支持汇总滚动展示本校采购食材溯源信息，包括：物资分类、编码、物资名称、规格、品牌、采购量、供应商、采购时间。</w:t>
            </w:r>
          </w:p>
          <w:p w14:paraId="13C1F8F1">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8.食品智能留样：支持对接智能留样设备或通过留样业务应用，实现称重、拍照、打印标签、数据上传、台账管理等功能。</w:t>
            </w:r>
          </w:p>
          <w:p w14:paraId="34CADFB8">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9.食品安全风险管控：支持根据采购人日管控、周排查、月调度和执法监督、预警管理等需求，设计格式化的监督检查任务，实现日常检查登记信息填报、根据日常检查记录自动生成一周检查记录，可在一张统计表上直观查看到各项检查内容、周一至周日的检查情况，便于管理，并根据需要可随时输出打印。</w:t>
            </w:r>
          </w:p>
          <w:p w14:paraId="6A31943B">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10.食品安全培训：支持日常培训记录登记上报，包含但不限于：培训单位、培训时间、培训人姓名、培训地点、参加培训人数、部门、培训主体、培训影像、培训资料等信息。</w:t>
            </w:r>
          </w:p>
          <w:p w14:paraId="73FF09E2">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11.食品安全台账：根据采购人需求，建立食品留样、晨检、消毒、剩余食品处理、快检、添加剂、库房温湿度、餐厨垃圾处理等台账，支持移动端和电脑端录入，实现查询、统计、打印和数据导出等功能。</w:t>
            </w:r>
          </w:p>
          <w:p w14:paraId="6843C3B7">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12.食品安全在线溯源</w:t>
            </w:r>
          </w:p>
          <w:p w14:paraId="3410FCE4">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餐厅流通的所有食材，均通过平台进行采购，供应商发货时通过平台提交发货的规格、品牌、发货数量、生产日期、有效期截止、票证等关联食安凭证信息，系统支持一键采购溯源，索票索证查询；</w:t>
            </w:r>
          </w:p>
          <w:p w14:paraId="765AB7CE">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13.晨检管理</w:t>
            </w:r>
          </w:p>
          <w:p w14:paraId="6B7374A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支持自定义设置晨检计划，提前针对需要晨检的人员请休假情况进行标记，包含但不限于：病假、事假、调休等。支持晨检个人卫生、健康状态异常检测项和晨检问询项选择，并支持查看和导出晨检记录，针对晨检异常情况进行预警提醒。支持根据员工晨检情况，自动生成按月考勤记录，便于发放员工工资和统计正常出勤天数。（提供产品演示）</w:t>
            </w:r>
          </w:p>
          <w:p w14:paraId="70F9BBD9">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14.行为分析管理</w:t>
            </w:r>
          </w:p>
          <w:p w14:paraId="0D5D9637">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可实时查看厨房监控视频和行为分析违规记录，支持统计违规总数和各项违规信息，包括违规行为标注图片、违规项、违规时间和违规地点；</w:t>
            </w:r>
          </w:p>
          <w:p w14:paraId="05E8863B">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15.自查管理</w:t>
            </w:r>
          </w:p>
          <w:p w14:paraId="158679C2">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支持日常检查记录登记，检查项可通过后台配置，自动生成一周检查汇总记录，一周检查汇总包含但不限于：检查项目、检查内容、检查标准、周一至周日的检查结果，便于管理人员随时查看检查情况，检查结果支持打印和导出</w:t>
            </w:r>
          </w:p>
          <w:p w14:paraId="1C6D3D62">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16.人员管理</w:t>
            </w:r>
          </w:p>
          <w:p w14:paraId="1DDBCCD7">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支持通过餐饮单位维护从业人员信息，进出门禁管理，包括姓名、性别、职位、学历、入职时间、健康证、证件有效期、刷脸图片等信息维护；支持人员健康证临期/过期预警，便于更新证件信息。</w:t>
            </w:r>
          </w:p>
          <w:p w14:paraId="74B0019A">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17.食品安全台账</w:t>
            </w:r>
          </w:p>
          <w:p w14:paraId="38C064FF">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可根据需求，建立食品留样、晨检、消毒、剩余食品处理、快检、添加剂、库房温湿度、餐厨垃圾处理等台账，支持移动端和电脑端录入，实现查询、统计、打印和数据导出等功能。</w:t>
            </w:r>
          </w:p>
          <w:p w14:paraId="2BA73004">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18.物资管理</w:t>
            </w:r>
          </w:p>
          <w:p w14:paraId="642AA505">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支持自定义设置物资分类，分类支持多级，支持批量导入基础物资；支持单个添加物资；支持批量修改物资单位；支持快速修改物资所属分类；基础物资信息包含但不限于：物资名称、规格、品牌、单位、所属分类、物资编码、临期预警天数、库存预警天数、保质期、市场询价、图片等；物资支持启用和停用；</w:t>
            </w:r>
          </w:p>
          <w:p w14:paraId="7CB0230E">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19.成品管理</w:t>
            </w:r>
          </w:p>
          <w:p w14:paraId="529FA39F">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支持自定义设置加工成品分类，支持批量导入加工成品；支持单个加工成品；加工成品信息包含但不限于：成品名称、成品分类、规格、单位、临期预警天数、库存预警天数、保质期、图片等；成品支持启用和停用；</w:t>
            </w:r>
          </w:p>
          <w:p w14:paraId="2926B39A">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20.供应商管理</w:t>
            </w:r>
          </w:p>
          <w:p w14:paraId="5535FB4A">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支持供应商入围管理，可通过后台登记入围供应商，供应商也可通过小程序端入库进行在线注册申请</w:t>
            </w:r>
            <w:r>
              <w:rPr>
                <w:rFonts w:hint="eastAsia" w:ascii="等线" w:hAnsi="等线" w:eastAsia="等线"/>
                <w:sz w:val="21"/>
                <w:szCs w:val="21"/>
                <w:lang w:eastAsia="zh-CN"/>
              </w:rPr>
              <w:t>，在</w:t>
            </w:r>
            <w:r>
              <w:rPr>
                <w:rFonts w:ascii="等线" w:hAnsi="等线" w:eastAsia="等线"/>
                <w:sz w:val="21"/>
                <w:szCs w:val="21"/>
              </w:rPr>
              <w:t>后台进行审核通过后分配相应的账户，待入围设置后可正常使用供货，支持供应商针对已入围未定价的商品申请定价，学校可通过导入的市场询价和供应商的定价进行比对，确定最终供应价；</w:t>
            </w:r>
          </w:p>
          <w:p w14:paraId="55690CBB">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21.物资条件管理</w:t>
            </w:r>
          </w:p>
          <w:p w14:paraId="21C9598B">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支持学校针对物资进行上下架、调价设置，可单个调价、可批量调价、可导入调价，每一次调价自动生成调价记录和调价走势便于查看记录调价记录；支持物资调价执行周期设置，所有出入库物资严格按照执行周期执行；支持物资批量下架；支持物资调价审核，自定义审核流程；支持物资超期未调价预警，可根据状态：未定价、正常供货、超期未调价等多种状态维护物资价格，支持按询价折扣批量导入调价，导入时可设置发价规则、特殊单位发价规则和固定物资价格，调价导入成功后根据供应商的折扣率，自动生成采购价和供应价；（提供产品演示）</w:t>
            </w:r>
          </w:p>
          <w:p w14:paraId="57E23BC4">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22.物资采购管理</w:t>
            </w:r>
          </w:p>
          <w:p w14:paraId="53A51F1C">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支持餐厅上报采购计划、指定供应商、自定义审核流程流转到对应的审核人处进行审核（如：餐厅经理审核、采购审核、后勤饮食中心三级审核机制），审核通过后生成计划汇总，计划汇总包含但不限于：计划收货时间、供应商、物资分类、物资名称、规格、品牌、合计需求量、各单位食堂的需求量明细；支持汇总计划发布后生成物资采购订单自动流转到供应商处，可查看订单发货和接单情况，支持汇总支持上报采购计划时针对单个物资进行备注；支持上报计划</w:t>
            </w:r>
            <w:r>
              <w:rPr>
                <w:rFonts w:hint="eastAsia" w:ascii="等线" w:hAnsi="等线" w:eastAsia="等线"/>
                <w:sz w:val="21"/>
                <w:szCs w:val="21"/>
                <w:lang w:eastAsia="zh-CN"/>
              </w:rPr>
              <w:t>时</w:t>
            </w:r>
            <w:r>
              <w:rPr>
                <w:rFonts w:ascii="等线" w:hAnsi="等线" w:eastAsia="等线"/>
                <w:sz w:val="21"/>
                <w:szCs w:val="21"/>
              </w:rPr>
              <w:t>保存草稿，下次可通过草稿快速提交计划；</w:t>
            </w:r>
          </w:p>
          <w:p w14:paraId="5AF1E24D">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23订单发货管理</w:t>
            </w:r>
          </w:p>
          <w:p w14:paraId="0E8456D7">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支持供应商在线确认订单、发货；支持单个订单确认和批量确认；支持同一个物资多批次发货，供应商收到餐厅订单后，需根据订单上的物资上传相关检测报告及食安票证上传证照后方可通过系统进行配货、发货操作；支持发货时自定义输入发货的规格、品牌、发货数量、生产日期、有效期截止、票证等信息，便于学校收货时验收相应的票证；支持已发货订单查看收货情况，打印送货单；（提供产品演示）</w:t>
            </w:r>
          </w:p>
          <w:p w14:paraId="0A58D527">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24.物资验收管理</w:t>
            </w:r>
          </w:p>
          <w:p w14:paraId="423130EC">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支持物资收货时针对生鲜类食材进行直入直出，需要放库存的物资进行验收入库，入库后自动生成相应的入库记录；支持同一个订单验收多次，每验收一次生成一个入库单；支持验收入库时查看商家发货信息，包含发货批次、生产日期、有效期截止、发货数量、发货票证；支持发货时针对单个物资进行待补货、未配送、拒收、验收完成的设置，便于收货；（提供产品演示）</w:t>
            </w:r>
          </w:p>
          <w:p w14:paraId="6A4301E6">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25.统一采购管理</w:t>
            </w:r>
          </w:p>
          <w:p w14:paraId="14ABF27A">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支持采购站统一采买物资，存放在采供站的一级库房中再通过物资申领发放给下属的单位食堂，食堂申领并收货后自动存放物资到自己的二级库房，可通过配置自动申领出库或申领后存入库房，满足不同的出库需求；</w:t>
            </w:r>
          </w:p>
          <w:p w14:paraId="61E9D3B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26.临时补单管理</w:t>
            </w:r>
          </w:p>
          <w:p w14:paraId="0D438C07">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支持临时补单入库功能，补单的审核流程可自定义设置；补单审核通过后生成补单入库记录，便于对账；</w:t>
            </w:r>
          </w:p>
          <w:p w14:paraId="43FD1876">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27.库存与盘点管理</w:t>
            </w:r>
          </w:p>
          <w:p w14:paraId="25A0B337">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支持库存查询，包括库存汇总和库存详情查看，支持库存盘点，针对库存物资盘点后自动生成盘点记录，盘点详情中包含但不限于：物资分类、物资名称、规格、品牌、入库时间、批次、单位、盘点前数量、盘点前金额、盘点后数量、盘点后金额、损益数量、损益金额、价格、盘点凭证等；</w:t>
            </w:r>
          </w:p>
          <w:p w14:paraId="2F793109">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28.物资出库与挑拨管理</w:t>
            </w:r>
          </w:p>
          <w:p w14:paraId="2ED233F5">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支持物资出库申请，自定义设置出库审核流程，业务自动流转审核，审核通过后出库成功，自动生成出库记录和出库明细；支持物资调拨申请，自定义设置调拨审核流程，业务自动流转审核，审核通过后调拨出库，申请单位再确认调拨收货；</w:t>
            </w:r>
          </w:p>
          <w:p w14:paraId="18CD65C1">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29.物资退换货管理</w:t>
            </w:r>
          </w:p>
          <w:p w14:paraId="1306D4D2">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支持在线物资退换处理，自定义设置退换货审核流程，业务自动流转审核；</w:t>
            </w:r>
          </w:p>
          <w:p w14:paraId="01437DA7">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30.物资询价管理</w:t>
            </w:r>
          </w:p>
          <w:p w14:paraId="004031AB">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支持学校发起询价，供应商在线报价，学校根据供应商的报价和市场询价比对分析，最终设定周期内的供应价。</w:t>
            </w:r>
          </w:p>
          <w:p w14:paraId="246A218A">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仿宋" w:hAnsi="仿宋" w:eastAsia="等线" w:cs="宋体"/>
                <w:color w:val="auto"/>
                <w:kern w:val="0"/>
                <w:sz w:val="20"/>
                <w:szCs w:val="20"/>
                <w:highlight w:val="none"/>
                <w:lang w:val="en-US" w:eastAsia="zh-CN"/>
              </w:rPr>
            </w:pPr>
            <w:r>
              <w:rPr>
                <w:rFonts w:ascii="等线" w:hAnsi="等线" w:eastAsia="等线"/>
                <w:sz w:val="21"/>
                <w:szCs w:val="21"/>
              </w:rPr>
              <w:t>31.要求支持基于国产化操作系统、国产化数据库部署</w:t>
            </w:r>
            <w:r>
              <w:rPr>
                <w:rFonts w:hint="eastAsia" w:ascii="等线" w:hAnsi="等线" w:eastAsia="等线"/>
                <w:sz w:val="21"/>
                <w:szCs w:val="21"/>
                <w:lang w:eastAsia="zh-CN"/>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top"/>
          </w:tcPr>
          <w:p w14:paraId="7EFA3EFD">
            <w:pPr>
              <w:spacing w:before="120" w:after="120" w:line="288" w:lineRule="auto"/>
              <w:ind w:left="0" w:leftChars="0"/>
              <w:jc w:val="left"/>
              <w:rPr>
                <w:rFonts w:hint="eastAsia" w:ascii="仿宋" w:hAnsi="仿宋" w:eastAsia="仿宋" w:cs="宋体"/>
                <w:color w:val="auto"/>
                <w:kern w:val="0"/>
                <w:sz w:val="20"/>
                <w:szCs w:val="20"/>
                <w:highlight w:val="none"/>
                <w:lang w:val="en-US" w:eastAsia="zh-CN" w:bidi="ar-SA"/>
              </w:rPr>
            </w:pPr>
            <w:r>
              <w:rPr>
                <w:rFonts w:ascii="等线" w:hAnsi="等线" w:eastAsia="等线"/>
                <w:sz w:val="21"/>
                <w:szCs w:val="21"/>
              </w:rPr>
              <w:t>年</w:t>
            </w:r>
          </w:p>
        </w:tc>
        <w:tc>
          <w:tcPr>
            <w:tcW w:w="290" w:type="pct"/>
            <w:tcBorders>
              <w:top w:val="single" w:color="000000" w:sz="4" w:space="0"/>
              <w:left w:val="single" w:color="000000" w:sz="4" w:space="0"/>
              <w:bottom w:val="single" w:color="000000" w:sz="4" w:space="0"/>
              <w:right w:val="single" w:color="000000" w:sz="4" w:space="0"/>
            </w:tcBorders>
            <w:shd w:val="clear" w:color="auto" w:fill="auto"/>
            <w:vAlign w:val="top"/>
          </w:tcPr>
          <w:p w14:paraId="7F08E480">
            <w:pPr>
              <w:spacing w:before="120" w:after="120" w:line="288" w:lineRule="auto"/>
              <w:ind w:left="0" w:leftChars="0"/>
              <w:jc w:val="left"/>
              <w:rPr>
                <w:rFonts w:hint="default" w:ascii="仿宋" w:hAnsi="仿宋" w:eastAsia="仿宋" w:cs="宋体"/>
                <w:color w:val="auto"/>
                <w:kern w:val="0"/>
                <w:sz w:val="20"/>
                <w:szCs w:val="20"/>
                <w:highlight w:val="none"/>
                <w:lang w:val="en-US" w:eastAsia="zh-CN" w:bidi="ar-SA"/>
              </w:rPr>
            </w:pPr>
            <w:r>
              <w:rPr>
                <w:rFonts w:ascii="等线" w:hAnsi="等线" w:eastAsia="等线"/>
                <w:sz w:val="21"/>
                <w:szCs w:val="21"/>
              </w:rPr>
              <w:t>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top"/>
          </w:tcPr>
          <w:p w14:paraId="5C58EFA3">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360AE3B">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538EC06">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top"/>
          </w:tcPr>
          <w:p w14:paraId="025D819C">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top"/>
          </w:tcPr>
          <w:p w14:paraId="7A86455A">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r>
      <w:tr w14:paraId="77A66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3" w:hRule="atLeast"/>
        </w:trPr>
        <w:tc>
          <w:tcPr>
            <w:tcW w:w="153" w:type="pct"/>
            <w:tcBorders>
              <w:top w:val="single" w:color="000000" w:sz="4" w:space="0"/>
              <w:left w:val="single" w:color="000000" w:sz="4" w:space="0"/>
              <w:bottom w:val="single" w:color="000000" w:sz="4" w:space="0"/>
              <w:right w:val="single" w:color="000000" w:sz="4" w:space="0"/>
            </w:tcBorders>
            <w:shd w:val="clear" w:color="auto" w:fill="auto"/>
            <w:vAlign w:val="top"/>
          </w:tcPr>
          <w:p w14:paraId="2D5C1D08">
            <w:pPr>
              <w:spacing w:before="120" w:after="120" w:line="288" w:lineRule="auto"/>
              <w:ind w:left="0" w:leftChars="0"/>
              <w:jc w:val="left"/>
              <w:rPr>
                <w:rFonts w:hint="eastAsia" w:ascii="仿宋" w:hAnsi="仿宋" w:eastAsia="仿宋" w:cs="宋体"/>
                <w:color w:val="auto"/>
                <w:kern w:val="0"/>
                <w:sz w:val="20"/>
                <w:szCs w:val="20"/>
                <w:highlight w:val="none"/>
                <w:lang w:val="en-US" w:eastAsia="zh-CN" w:bidi="ar-SA"/>
              </w:rPr>
            </w:pPr>
            <w:r>
              <w:rPr>
                <w:rFonts w:ascii="等线" w:hAnsi="等线" w:eastAsia="等线"/>
                <w:sz w:val="21"/>
                <w:szCs w:val="21"/>
              </w:rPr>
              <w:t>2</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top"/>
          </w:tcPr>
          <w:p w14:paraId="2DFE3A60">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AI视频网关</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top"/>
          </w:tcPr>
          <w:p w14:paraId="6122E55F">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1.支持区域人数统计、未穿工作服识别、吸烟识别、打电话识别、未戴厨师帽识别、老鼠识别、未戴口罩识别、垃圾桶满溢识别、地面垃圾识别、生熟砧板混用识别、人员赤膊识别；</w:t>
            </w:r>
          </w:p>
          <w:p w14:paraId="210F191E">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2.支持通过onvif协议、GB/T28181协议、RTSP协议接入视频监控图像进行AI识别分析；</w:t>
            </w:r>
          </w:p>
          <w:p w14:paraId="34976A12">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3.支持无需下载控件可进行视频预览、告警实时查等；</w:t>
            </w:r>
          </w:p>
          <w:p w14:paraId="59824D1A">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4.支持通过互联网穿透技术，远程访问设备实现视频通道添加、算法配置、平台地址配置等功能；（提供产品彩页或技术规格说明书）</w:t>
            </w:r>
          </w:p>
          <w:p w14:paraId="1F0CA2FF">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5.支持上传工作服图片，用于工作服算法模型分析；</w:t>
            </w:r>
          </w:p>
          <w:p w14:paraId="4B95796F">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6.支持自动抓取视频监控图像中的人员服装特征图片，用于工作服算法模型分析；（提供产品彩页或技术规格说明书）</w:t>
            </w:r>
          </w:p>
          <w:p w14:paraId="75DC4C23">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7.支持一路图像同时开启≥4个明厨亮灶分析算法；</w:t>
            </w:r>
          </w:p>
          <w:p w14:paraId="6C88EB6E">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8.支持实时并发分析≥8路视频监控摄像机；（提供产品彩页或技术规格说明书）</w:t>
            </w:r>
          </w:p>
          <w:p w14:paraId="47F0E22C">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9.支持根据不同的 AI 分析报警规则，配置指定的联动音频文件，并能设置播报次数和连续触发间隔时间。</w:t>
            </w:r>
          </w:p>
          <w:p w14:paraId="0571E538">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10.支持人脸库管理维护，提供人脸比对功能，包括1:1人脸比对、1:N人脸比对应用；（提供产品彩页或技术规格说明书）</w:t>
            </w:r>
          </w:p>
          <w:p w14:paraId="793AD05C">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11.支持在设备上添加IP喇叭，通过IP喇叭实现视频分析预警播报；（提供产品彩页或技术规格说明书）</w:t>
            </w:r>
          </w:p>
          <w:p w14:paraId="1E7EF4A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12.实时监测 CPU 使用率、CPU温度、电路板温度、系统RAM使用情况等信息;</w:t>
            </w:r>
          </w:p>
          <w:p w14:paraId="27A9370A">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13.支持扩展视频国标协议推流功能、视频存储功能；</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top"/>
          </w:tcPr>
          <w:p w14:paraId="6D1DCE7D">
            <w:pPr>
              <w:spacing w:before="120" w:after="120" w:line="288" w:lineRule="auto"/>
              <w:ind w:left="0" w:leftChars="0"/>
              <w:jc w:val="left"/>
              <w:rPr>
                <w:rFonts w:hint="eastAsia" w:ascii="仿宋" w:hAnsi="仿宋" w:eastAsia="仿宋" w:cs="宋体"/>
                <w:color w:val="auto"/>
                <w:kern w:val="0"/>
                <w:sz w:val="20"/>
                <w:szCs w:val="20"/>
                <w:highlight w:val="none"/>
                <w:lang w:val="en-US" w:eastAsia="zh-CN" w:bidi="ar-SA"/>
              </w:rPr>
            </w:pPr>
            <w:r>
              <w:rPr>
                <w:rFonts w:ascii="等线" w:hAnsi="等线" w:eastAsia="等线"/>
                <w:sz w:val="21"/>
                <w:szCs w:val="21"/>
              </w:rPr>
              <w:t>台</w:t>
            </w:r>
          </w:p>
        </w:tc>
        <w:tc>
          <w:tcPr>
            <w:tcW w:w="290" w:type="pct"/>
            <w:tcBorders>
              <w:top w:val="single" w:color="000000" w:sz="4" w:space="0"/>
              <w:left w:val="single" w:color="000000" w:sz="4" w:space="0"/>
              <w:bottom w:val="single" w:color="000000" w:sz="4" w:space="0"/>
              <w:right w:val="single" w:color="000000" w:sz="4" w:space="0"/>
            </w:tcBorders>
            <w:shd w:val="clear" w:color="auto" w:fill="auto"/>
            <w:vAlign w:val="top"/>
          </w:tcPr>
          <w:p w14:paraId="5ACA8934">
            <w:pPr>
              <w:spacing w:before="120" w:after="120" w:line="288" w:lineRule="auto"/>
              <w:ind w:left="0" w:leftChars="0"/>
              <w:jc w:val="left"/>
              <w:rPr>
                <w:rFonts w:hint="default" w:ascii="仿宋" w:hAnsi="仿宋" w:eastAsia="仿宋" w:cs="宋体"/>
                <w:color w:val="auto"/>
                <w:kern w:val="0"/>
                <w:sz w:val="20"/>
                <w:szCs w:val="20"/>
                <w:highlight w:val="none"/>
                <w:lang w:val="en-US" w:eastAsia="zh-CN" w:bidi="ar-SA"/>
              </w:rPr>
            </w:pPr>
            <w:r>
              <w:rPr>
                <w:rFonts w:ascii="等线" w:hAnsi="等线" w:eastAsia="等线"/>
                <w:sz w:val="21"/>
                <w:szCs w:val="21"/>
              </w:rPr>
              <w:t>2</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top"/>
          </w:tcPr>
          <w:p w14:paraId="259CFEA0">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top"/>
          </w:tcPr>
          <w:p w14:paraId="3F084C41">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760C95D">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15390C2">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top"/>
          </w:tcPr>
          <w:p w14:paraId="52B4E405">
            <w:pPr>
              <w:spacing w:before="120" w:after="120" w:line="288" w:lineRule="auto"/>
              <w:ind w:left="0" w:leftChars="0"/>
              <w:jc w:val="left"/>
              <w:rPr>
                <w:rFonts w:hint="eastAsia" w:ascii="宋体" w:hAnsi="宋体" w:eastAsia="宋体" w:cs="宋体"/>
                <w:i w:val="0"/>
                <w:iCs w:val="0"/>
                <w:color w:val="auto"/>
                <w:sz w:val="22"/>
                <w:szCs w:val="22"/>
                <w:highlight w:val="none"/>
                <w:u w:val="none"/>
              </w:rPr>
            </w:pPr>
            <w:r>
              <w:rPr>
                <w:rFonts w:ascii="等线" w:hAnsi="等线" w:eastAsia="等线"/>
                <w:sz w:val="21"/>
                <w:szCs w:val="21"/>
              </w:rPr>
              <w:t>网络机房/每层楼各壹台</w:t>
            </w:r>
          </w:p>
        </w:tc>
      </w:tr>
      <w:tr w14:paraId="70E4B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3" w:hRule="atLeast"/>
        </w:trPr>
        <w:tc>
          <w:tcPr>
            <w:tcW w:w="153" w:type="pct"/>
            <w:tcBorders>
              <w:top w:val="single" w:color="000000" w:sz="4" w:space="0"/>
              <w:left w:val="single" w:color="000000" w:sz="4" w:space="0"/>
              <w:bottom w:val="single" w:color="000000" w:sz="4" w:space="0"/>
              <w:right w:val="single" w:color="000000" w:sz="4" w:space="0"/>
            </w:tcBorders>
            <w:shd w:val="clear" w:color="auto" w:fill="auto"/>
            <w:vAlign w:val="top"/>
          </w:tcPr>
          <w:p w14:paraId="0DDD0A2B">
            <w:pPr>
              <w:spacing w:before="120" w:after="120" w:line="288" w:lineRule="auto"/>
              <w:ind w:left="0" w:leftChars="0"/>
              <w:jc w:val="left"/>
              <w:rPr>
                <w:rFonts w:hint="eastAsia" w:ascii="仿宋" w:hAnsi="仿宋" w:eastAsia="仿宋" w:cs="宋体"/>
                <w:color w:val="auto"/>
                <w:kern w:val="0"/>
                <w:sz w:val="20"/>
                <w:szCs w:val="20"/>
                <w:highlight w:val="none"/>
                <w:lang w:val="en-US" w:eastAsia="zh-CN" w:bidi="ar-SA"/>
              </w:rPr>
            </w:pPr>
            <w:r>
              <w:rPr>
                <w:rFonts w:ascii="等线" w:hAnsi="等线" w:eastAsia="等线"/>
                <w:sz w:val="21"/>
                <w:szCs w:val="21"/>
              </w:rPr>
              <w:t>3</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top"/>
          </w:tcPr>
          <w:p w14:paraId="04BB5F8C">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智能晨检一体机</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top"/>
          </w:tcPr>
          <w:p w14:paraId="0AD5E5A6">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1.操作系统：采用开源或国产化操作系统</w:t>
            </w:r>
          </w:p>
          <w:p w14:paraId="5EBD5D37">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2.算力：≥1.5T；</w:t>
            </w:r>
          </w:p>
          <w:p w14:paraId="5776C068">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3.存储：≥32G；</w:t>
            </w:r>
          </w:p>
          <w:p w14:paraId="17257A5F">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4.屏幕：≥15.6寸，多点触控显示屏；</w:t>
            </w:r>
          </w:p>
          <w:p w14:paraId="20330CC6">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5.材质：金属；</w:t>
            </w:r>
          </w:p>
          <w:p w14:paraId="46DFE174">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6.消毒方式：自动感应喷雾；（提供产品现场演示）</w:t>
            </w:r>
          </w:p>
          <w:p w14:paraId="620E1BB1">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7.工作温度：-10~50℃；</w:t>
            </w:r>
          </w:p>
          <w:p w14:paraId="56FE401D">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8.测温功能：有效测温距离≥50CM,测温精度≥±0.2℃，测温摄像头支持：≥15°上下调节（方便不同身高人群晨检）</w:t>
            </w:r>
          </w:p>
          <w:p w14:paraId="760150A8">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9.人脸识别：支持离线人脸识别，识别率≥99%，识别时间≤1秒，人脸识别摄像头支持≥15°上下调节（方便不同身高人群晨检）</w:t>
            </w:r>
          </w:p>
          <w:p w14:paraId="08644922">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10.手部检测仓：高度：≥10cm,深度:≥15cm：宽度：≥25cm；</w:t>
            </w:r>
          </w:p>
          <w:p w14:paraId="3DD03851">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11.硬件接口：有线网络接口：≥1个，USB接口：≥2个；</w:t>
            </w:r>
          </w:p>
          <w:p w14:paraId="42ABC2DB">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12.支持设备端支持添加、编辑、删除从业人员信息，并能通过设备自带摄像头采集从业人员人脸照片、健康证图片、身份证图片；（提供产品现场演示）</w:t>
            </w:r>
          </w:p>
          <w:p w14:paraId="6B9F32A9">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13.支持将从业人员基本信息同步到后台管理系统，并能从后台管理系统同步从业人员基本信息到设备。</w:t>
            </w:r>
          </w:p>
          <w:p w14:paraId="23B05D23">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14.支持晨检引导语音提醒，晨检人员可通过语音引导完成晨检业务；</w:t>
            </w:r>
          </w:p>
          <w:p w14:paraId="5ED69A47">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15.支持抓拍并展示路人的人脸图片和人员测温信息，并显示≥4个最新测温记录。（提供产品现场演示）</w:t>
            </w:r>
          </w:p>
          <w:p w14:paraId="07DB33B4">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16.支持自动分析从业人员当日是否进行过健康检查，若已经进行过健康检查，则展示当日最新一次检查记录，并提示是否继续检查，若当日没有检查记录，自动进行健康检查流程。</w:t>
            </w:r>
          </w:p>
          <w:p w14:paraId="3DF55B3E">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17.支持手部的戴戒指、涂指甲油、贴</w:t>
            </w:r>
            <w:r>
              <w:rPr>
                <w:rFonts w:hint="eastAsia" w:ascii="等线" w:hAnsi="等线" w:eastAsia="等线"/>
                <w:sz w:val="21"/>
                <w:szCs w:val="21"/>
                <w:lang w:eastAsia="zh-CN"/>
              </w:rPr>
              <w:t>创可贴</w:t>
            </w:r>
            <w:r>
              <w:rPr>
                <w:rFonts w:ascii="等线" w:hAnsi="等线" w:eastAsia="等线"/>
                <w:sz w:val="21"/>
                <w:szCs w:val="21"/>
              </w:rPr>
              <w:t>、明显伤口、明显异物等检查，并进行异常提示。</w:t>
            </w:r>
          </w:p>
          <w:p w14:paraId="6CE8139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18.支持选择人员健康状态上报，包括：腹泻、呕吐、湿疹、健康等选项上报。</w:t>
            </w:r>
          </w:p>
          <w:p w14:paraId="188365A3">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19.今日晨检统计：支持查询今日待晨检人员信息、已完成晨检人员信息；</w:t>
            </w:r>
          </w:p>
          <w:p w14:paraId="5039DE73">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20.历史记录查询：支持按日期查询人员每天的检查情况，包括人员名称、检查时间、手部检查情况、健康上报结果、人员体温、检查结果信息等。</w:t>
            </w:r>
          </w:p>
          <w:p w14:paraId="7D4F4DE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21.互联网远程维护：支持通过互联网远程登录设备，进行系统配置、维护管理。（提供产品现场演示）</w:t>
            </w:r>
          </w:p>
          <w:p w14:paraId="72FF17A5">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22.支持单机离线使用和平台联网使用，支持与第三方管理系统对接。</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top"/>
          </w:tcPr>
          <w:p w14:paraId="09606521">
            <w:pPr>
              <w:spacing w:before="120" w:after="120" w:line="288" w:lineRule="auto"/>
              <w:ind w:left="0" w:leftChars="0"/>
              <w:jc w:val="left"/>
              <w:rPr>
                <w:rFonts w:hint="eastAsia" w:ascii="仿宋" w:hAnsi="仿宋" w:eastAsia="仿宋" w:cs="宋体"/>
                <w:color w:val="auto"/>
                <w:kern w:val="0"/>
                <w:sz w:val="20"/>
                <w:szCs w:val="20"/>
                <w:highlight w:val="none"/>
                <w:lang w:val="en-US" w:eastAsia="zh-CN" w:bidi="ar-SA"/>
              </w:rPr>
            </w:pPr>
            <w:r>
              <w:rPr>
                <w:rFonts w:ascii="等线" w:hAnsi="等线" w:eastAsia="等线"/>
                <w:sz w:val="21"/>
                <w:szCs w:val="21"/>
              </w:rPr>
              <w:t>台</w:t>
            </w:r>
          </w:p>
        </w:tc>
        <w:tc>
          <w:tcPr>
            <w:tcW w:w="290" w:type="pct"/>
            <w:tcBorders>
              <w:top w:val="single" w:color="000000" w:sz="4" w:space="0"/>
              <w:left w:val="single" w:color="000000" w:sz="4" w:space="0"/>
              <w:bottom w:val="single" w:color="000000" w:sz="4" w:space="0"/>
              <w:right w:val="single" w:color="000000" w:sz="4" w:space="0"/>
            </w:tcBorders>
            <w:shd w:val="clear" w:color="auto" w:fill="auto"/>
            <w:vAlign w:val="top"/>
          </w:tcPr>
          <w:p w14:paraId="1B659AAC">
            <w:pPr>
              <w:spacing w:before="120" w:after="120" w:line="288" w:lineRule="auto"/>
              <w:ind w:left="0" w:leftChars="0"/>
              <w:jc w:val="left"/>
              <w:rPr>
                <w:rFonts w:hint="default" w:ascii="仿宋" w:hAnsi="仿宋" w:eastAsia="仿宋" w:cs="宋体"/>
                <w:color w:val="auto"/>
                <w:kern w:val="0"/>
                <w:sz w:val="20"/>
                <w:szCs w:val="20"/>
                <w:highlight w:val="none"/>
                <w:lang w:val="en-US" w:eastAsia="zh-CN" w:bidi="ar-SA"/>
              </w:rPr>
            </w:pPr>
            <w:r>
              <w:rPr>
                <w:rFonts w:ascii="等线" w:hAnsi="等线" w:eastAsia="等线"/>
                <w:sz w:val="21"/>
                <w:szCs w:val="21"/>
              </w:rPr>
              <w:t>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top"/>
          </w:tcPr>
          <w:p w14:paraId="5A5A0918">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top"/>
          </w:tcPr>
          <w:p w14:paraId="28F6B38C">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611505E">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3B408AB">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top"/>
          </w:tcPr>
          <w:p w14:paraId="2D3D4203">
            <w:pPr>
              <w:spacing w:before="120" w:after="120" w:line="288" w:lineRule="auto"/>
              <w:ind w:left="0" w:leftChars="0"/>
              <w:jc w:val="left"/>
              <w:rPr>
                <w:rFonts w:hint="eastAsia" w:ascii="宋体" w:hAnsi="宋体" w:eastAsia="宋体" w:cs="宋体"/>
                <w:i w:val="0"/>
                <w:iCs w:val="0"/>
                <w:color w:val="auto"/>
                <w:sz w:val="22"/>
                <w:szCs w:val="22"/>
                <w:highlight w:val="none"/>
                <w:u w:val="none"/>
              </w:rPr>
            </w:pPr>
            <w:r>
              <w:rPr>
                <w:rFonts w:ascii="等线" w:hAnsi="等线" w:eastAsia="等线"/>
                <w:sz w:val="21"/>
                <w:szCs w:val="21"/>
              </w:rPr>
              <w:t>一楼员工入口处更衣室通道</w:t>
            </w:r>
          </w:p>
        </w:tc>
      </w:tr>
      <w:tr w14:paraId="4FE95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153" w:type="pct"/>
            <w:tcBorders>
              <w:top w:val="single" w:color="000000" w:sz="4" w:space="0"/>
              <w:left w:val="single" w:color="000000" w:sz="4" w:space="0"/>
              <w:bottom w:val="single" w:color="000000" w:sz="4" w:space="0"/>
              <w:right w:val="single" w:color="000000" w:sz="4" w:space="0"/>
            </w:tcBorders>
            <w:shd w:val="clear" w:color="auto" w:fill="auto"/>
            <w:vAlign w:val="top"/>
          </w:tcPr>
          <w:p w14:paraId="4A45FC7E">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4</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top"/>
          </w:tcPr>
          <w:p w14:paraId="23D103B3">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智能留样柜</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top"/>
          </w:tcPr>
          <w:p w14:paraId="5D1DB58D">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1.柜体采用不锈钢材质，每个留样格舱体内部留样透明可见；</w:t>
            </w:r>
          </w:p>
          <w:p w14:paraId="415ECDA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2.留样舱体≥12个，每个舱体独立门锁控制;</w:t>
            </w:r>
          </w:p>
          <w:p w14:paraId="185686F3">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3.主控系统显示分辨率：≥1920*1080P;</w:t>
            </w:r>
          </w:p>
          <w:p w14:paraId="2A1CBCB6">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4.主控系统屏幕：≥10寸，支持多点触控；</w:t>
            </w:r>
          </w:p>
          <w:p w14:paraId="2646970A">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5.控温方式：风冷；</w:t>
            </w:r>
          </w:p>
          <w:p w14:paraId="6FC9CE42">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6.支持样品称重、拍照、标签打印功能；</w:t>
            </w:r>
          </w:p>
          <w:p w14:paraId="3EBBCCDD">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7</w:t>
            </w:r>
            <w:r>
              <w:rPr>
                <w:rFonts w:hint="eastAsia" w:ascii="等线" w:hAnsi="等线" w:eastAsia="等线"/>
                <w:sz w:val="21"/>
                <w:szCs w:val="21"/>
                <w:lang w:val="en-US" w:eastAsia="zh-CN"/>
              </w:rPr>
              <w:t>.</w:t>
            </w:r>
            <w:r>
              <w:rPr>
                <w:rFonts w:ascii="等线" w:hAnsi="等线" w:eastAsia="等线"/>
                <w:sz w:val="21"/>
                <w:szCs w:val="21"/>
              </w:rPr>
              <w:t>支持人脸识别，支持双人脸组合验证登录功能，在人脸库的多个人脸中，同时满足两个人脸验证通过时，才能登录系统进行样品留样和取样操作。</w:t>
            </w:r>
          </w:p>
          <w:p w14:paraId="66093F51">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8</w:t>
            </w:r>
            <w:r>
              <w:rPr>
                <w:rFonts w:hint="eastAsia" w:ascii="等线" w:hAnsi="等线" w:eastAsia="等线"/>
                <w:sz w:val="21"/>
                <w:szCs w:val="21"/>
                <w:lang w:val="en-US" w:eastAsia="zh-CN"/>
              </w:rPr>
              <w:t>.</w:t>
            </w:r>
            <w:r>
              <w:rPr>
                <w:rFonts w:ascii="等线" w:hAnsi="等线" w:eastAsia="等线"/>
                <w:sz w:val="21"/>
                <w:szCs w:val="21"/>
              </w:rPr>
              <w:t>支持展示设备在线状态、当前留样柜温度、日期时间、已留样数量、待留样数量、待取样数量等信息；</w:t>
            </w:r>
          </w:p>
          <w:p w14:paraId="40B0B6EF">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9</w:t>
            </w:r>
            <w:r>
              <w:rPr>
                <w:rFonts w:hint="eastAsia" w:ascii="等线" w:hAnsi="等线" w:eastAsia="等线"/>
                <w:sz w:val="21"/>
                <w:szCs w:val="21"/>
                <w:lang w:val="en-US" w:eastAsia="zh-CN"/>
              </w:rPr>
              <w:t>.</w:t>
            </w:r>
            <w:r>
              <w:rPr>
                <w:rFonts w:ascii="等线" w:hAnsi="等线" w:eastAsia="等线"/>
                <w:sz w:val="21"/>
                <w:szCs w:val="21"/>
              </w:rPr>
              <w:t>支持留样人员进行留样完成确认操作，经过确认的柜门自动进入留样锁定和倒计时状态；</w:t>
            </w:r>
          </w:p>
          <w:p w14:paraId="5B430E38">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10</w:t>
            </w:r>
            <w:r>
              <w:rPr>
                <w:rFonts w:hint="eastAsia" w:ascii="等线" w:hAnsi="等线" w:eastAsia="等线"/>
                <w:sz w:val="21"/>
                <w:szCs w:val="21"/>
                <w:lang w:val="en-US" w:eastAsia="zh-CN"/>
              </w:rPr>
              <w:t>.</w:t>
            </w:r>
            <w:r>
              <w:rPr>
                <w:rFonts w:ascii="等线" w:hAnsi="等线" w:eastAsia="等线"/>
                <w:sz w:val="21"/>
                <w:szCs w:val="21"/>
              </w:rPr>
              <w:t>支持本地添加食谱信息进行留样和通过管理后台同步食谱信息进行留样，支持选择留样的舱体、留样食品加工人；</w:t>
            </w:r>
          </w:p>
          <w:p w14:paraId="238F689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11</w:t>
            </w:r>
            <w:r>
              <w:rPr>
                <w:rFonts w:hint="eastAsia" w:ascii="等线" w:hAnsi="等线" w:eastAsia="等线"/>
                <w:sz w:val="21"/>
                <w:szCs w:val="21"/>
                <w:lang w:val="en-US" w:eastAsia="zh-CN"/>
              </w:rPr>
              <w:t>.</w:t>
            </w:r>
            <w:r>
              <w:rPr>
                <w:rFonts w:ascii="等线" w:hAnsi="等线" w:eastAsia="等线"/>
                <w:sz w:val="21"/>
                <w:szCs w:val="21"/>
              </w:rPr>
              <w:t>支持食谱单个选择留样和批量选择留样，支持自动控制锁定食品留样时间，留样时间未到非超级管理员用户不能开启留样舱体；</w:t>
            </w:r>
          </w:p>
          <w:p w14:paraId="79A7A558">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12</w:t>
            </w:r>
            <w:r>
              <w:rPr>
                <w:rFonts w:hint="eastAsia" w:ascii="等线" w:hAnsi="等线" w:eastAsia="等线"/>
                <w:sz w:val="21"/>
                <w:szCs w:val="21"/>
                <w:lang w:val="en-US" w:eastAsia="zh-CN"/>
              </w:rPr>
              <w:t>.</w:t>
            </w:r>
            <w:r>
              <w:rPr>
                <w:rFonts w:ascii="等线" w:hAnsi="等线" w:eastAsia="等线"/>
                <w:sz w:val="21"/>
                <w:szCs w:val="21"/>
              </w:rPr>
              <w:t>支持本地查询食品留样记录和取样记录；</w:t>
            </w:r>
          </w:p>
          <w:p w14:paraId="10741CF2">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13</w:t>
            </w:r>
            <w:r>
              <w:rPr>
                <w:rFonts w:hint="eastAsia" w:ascii="等线" w:hAnsi="等线" w:eastAsia="等线"/>
                <w:sz w:val="21"/>
                <w:szCs w:val="21"/>
                <w:lang w:val="en-US" w:eastAsia="zh-CN"/>
              </w:rPr>
              <w:t>.</w:t>
            </w:r>
            <w:r>
              <w:rPr>
                <w:rFonts w:ascii="等线" w:hAnsi="等线" w:eastAsia="等线"/>
                <w:sz w:val="21"/>
                <w:szCs w:val="21"/>
              </w:rPr>
              <w:t>支持留样预警提醒，根据食谱进行分析，到时间未进行留样，提醒用户进行留样，对应餐次未留样，自动生产预警记录；</w:t>
            </w:r>
          </w:p>
          <w:p w14:paraId="43EF65BF">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14</w:t>
            </w:r>
            <w:r>
              <w:rPr>
                <w:rFonts w:hint="eastAsia" w:ascii="等线" w:hAnsi="等线" w:eastAsia="等线"/>
                <w:sz w:val="21"/>
                <w:szCs w:val="21"/>
                <w:lang w:val="en-US" w:eastAsia="zh-CN"/>
              </w:rPr>
              <w:t>.</w:t>
            </w:r>
            <w:r>
              <w:rPr>
                <w:rFonts w:ascii="等线" w:hAnsi="等线" w:eastAsia="等线"/>
                <w:sz w:val="21"/>
                <w:szCs w:val="21"/>
              </w:rPr>
              <w:t>支持将食品留样记录、预警记录实时同步食堂食品安全智能化管理系统；</w:t>
            </w:r>
          </w:p>
          <w:p w14:paraId="2627FFEB">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15</w:t>
            </w:r>
            <w:r>
              <w:rPr>
                <w:rFonts w:hint="eastAsia" w:ascii="等线" w:hAnsi="等线" w:eastAsia="等线"/>
                <w:sz w:val="21"/>
                <w:szCs w:val="21"/>
                <w:lang w:val="en-US" w:eastAsia="zh-CN"/>
              </w:rPr>
              <w:t>.</w:t>
            </w:r>
            <w:r>
              <w:rPr>
                <w:rFonts w:ascii="等线" w:hAnsi="等线" w:eastAsia="等线"/>
                <w:sz w:val="21"/>
                <w:szCs w:val="21"/>
              </w:rPr>
              <w:t>支持扩展留样菜品识别功能，自动识别菜品类型和菜品名称；</w:t>
            </w:r>
          </w:p>
          <w:p w14:paraId="26B991ED">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16</w:t>
            </w:r>
            <w:r>
              <w:rPr>
                <w:rFonts w:hint="eastAsia" w:ascii="等线" w:hAnsi="等线" w:eastAsia="等线"/>
                <w:sz w:val="21"/>
                <w:szCs w:val="21"/>
                <w:lang w:val="en-US" w:eastAsia="zh-CN"/>
              </w:rPr>
              <w:t>.</w:t>
            </w:r>
            <w:r>
              <w:rPr>
                <w:rFonts w:ascii="等线" w:hAnsi="等线" w:eastAsia="等线"/>
                <w:sz w:val="21"/>
                <w:szCs w:val="21"/>
              </w:rPr>
              <w:t>支持应急机械开锁功能，外部无电源时，可用机械钥匙一键开启所有柜门。</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top"/>
          </w:tcPr>
          <w:p w14:paraId="360CA07F">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台</w:t>
            </w:r>
          </w:p>
        </w:tc>
        <w:tc>
          <w:tcPr>
            <w:tcW w:w="290" w:type="pct"/>
            <w:tcBorders>
              <w:top w:val="single" w:color="000000" w:sz="4" w:space="0"/>
              <w:left w:val="single" w:color="000000" w:sz="4" w:space="0"/>
              <w:bottom w:val="single" w:color="000000" w:sz="4" w:space="0"/>
              <w:right w:val="single" w:color="000000" w:sz="4" w:space="0"/>
            </w:tcBorders>
            <w:shd w:val="clear" w:color="auto" w:fill="auto"/>
            <w:vAlign w:val="top"/>
          </w:tcPr>
          <w:p w14:paraId="3EEAF4CB">
            <w:pPr>
              <w:spacing w:before="120" w:after="120" w:line="288" w:lineRule="auto"/>
              <w:ind w:left="0" w:leftChars="0"/>
              <w:jc w:val="left"/>
              <w:rPr>
                <w:rFonts w:hint="default" w:ascii="仿宋" w:hAnsi="仿宋" w:eastAsia="仿宋" w:cs="宋体"/>
                <w:color w:val="auto"/>
                <w:kern w:val="0"/>
                <w:sz w:val="20"/>
                <w:szCs w:val="20"/>
                <w:highlight w:val="none"/>
                <w:lang w:val="en-US" w:eastAsia="zh-CN"/>
              </w:rPr>
            </w:pPr>
            <w:r>
              <w:rPr>
                <w:rFonts w:ascii="等线" w:hAnsi="等线" w:eastAsia="等线"/>
                <w:sz w:val="21"/>
                <w:szCs w:val="21"/>
              </w:rPr>
              <w:t>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top"/>
          </w:tcPr>
          <w:p w14:paraId="1BECF41C">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top"/>
          </w:tcPr>
          <w:p w14:paraId="24612E5F">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BB475AA">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03F63F6">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top"/>
          </w:tcPr>
          <w:p w14:paraId="3F7C880F">
            <w:pPr>
              <w:spacing w:before="120" w:after="120" w:line="288" w:lineRule="auto"/>
              <w:ind w:left="0" w:leftChars="0"/>
              <w:jc w:val="left"/>
              <w:rPr>
                <w:rFonts w:hint="eastAsia" w:ascii="宋体" w:hAnsi="宋体" w:eastAsia="宋体" w:cs="宋体"/>
                <w:i w:val="0"/>
                <w:iCs w:val="0"/>
                <w:color w:val="auto"/>
                <w:sz w:val="22"/>
                <w:szCs w:val="22"/>
                <w:highlight w:val="none"/>
                <w:u w:val="none"/>
              </w:rPr>
            </w:pPr>
            <w:r>
              <w:rPr>
                <w:rFonts w:ascii="等线" w:hAnsi="等线" w:eastAsia="等线"/>
                <w:sz w:val="21"/>
                <w:szCs w:val="21"/>
              </w:rPr>
              <w:t>一二楼留样区域</w:t>
            </w:r>
          </w:p>
        </w:tc>
      </w:tr>
      <w:tr w14:paraId="7053F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153" w:type="pct"/>
            <w:tcBorders>
              <w:top w:val="single" w:color="000000" w:sz="4" w:space="0"/>
              <w:left w:val="single" w:color="000000" w:sz="4" w:space="0"/>
              <w:bottom w:val="single" w:color="000000" w:sz="4" w:space="0"/>
              <w:right w:val="single" w:color="000000" w:sz="4" w:space="0"/>
            </w:tcBorders>
            <w:shd w:val="clear" w:color="auto" w:fill="auto"/>
            <w:vAlign w:val="top"/>
          </w:tcPr>
          <w:p w14:paraId="3FC3BA55">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5</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top"/>
          </w:tcPr>
          <w:p w14:paraId="2EC228F2">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食安检测一体机</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top"/>
          </w:tcPr>
          <w:p w14:paraId="7C909EF5">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1.支持检测农药残留、食品理化指标及采用理化方法进行检测的食品非法添加物等；</w:t>
            </w:r>
          </w:p>
          <w:p w14:paraId="03893AEA">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2.支持胶体金卡读取功能，自动定性及定量地进行胶体金法的农残、兽残、非法添加物等的检测；</w:t>
            </w:r>
          </w:p>
          <w:p w14:paraId="4DA32562">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3.支持ATP荧光检测功能，对餐具的表面洁净度进行快速检测；</w:t>
            </w:r>
          </w:p>
          <w:p w14:paraId="4103D584">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4.支持注水肉检测功能，对肉类的水分含量进行检测；</w:t>
            </w:r>
          </w:p>
          <w:p w14:paraId="5F4BFEBD">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5.支持酶抑制法农药残留检测功能，可快速检测蔬菜、水果中的有机磷和氨基甲酸酯类农药残留量；</w:t>
            </w:r>
          </w:p>
          <w:p w14:paraId="0231A665">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6.农药残留检测专用通道≥8通道，理化项目检测通道≥8通道；</w:t>
            </w:r>
          </w:p>
          <w:p w14:paraId="4B682412">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7.支持检测项目管理功能，通过U盘、网络或扫描试剂包装盒上的二维码，均可添加或删除检测项目，最大项目可添加1000项以上；</w:t>
            </w:r>
          </w:p>
          <w:p w14:paraId="551FF61B">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8.支持保存、打印、上传检测数据，具有USB、wifi、4G及RJ45等传输接口，还将数据通过网络上传到服务器平台；</w:t>
            </w:r>
          </w:p>
          <w:p w14:paraId="2200285D">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9.设备自带操作系统，多点触摸屏。内置操作使用指南、操作视频和操作提示，方便使用者快速掌握仪器的使用方法；</w:t>
            </w:r>
          </w:p>
          <w:p w14:paraId="34B1B8AD">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10.仪器与软件平台连接后，软件平台可向仪器下达检测任务，通知公告等信息。</w:t>
            </w:r>
          </w:p>
          <w:p w14:paraId="2C1E12EF">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11.光度检测模块性能要求：透射比示值误差：≤±2%，稳定性：≤±0.1%/10min，重复性：≤0.5%，吸光度示值差异≤0.05；</w:t>
            </w:r>
          </w:p>
          <w:p w14:paraId="1E408BDA">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12.免疫层析法模块性能要求：定性识别成功率大于99%。</w:t>
            </w:r>
          </w:p>
          <w:p w14:paraId="3609CFCD">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13.ATP荧光检测模块性能要求：示值误差：≤±10%，重复性≤5%。</w:t>
            </w:r>
          </w:p>
          <w:p w14:paraId="264726F4">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14.注水肉检测模块性能要求：示值误差：≤2.0%；重复性：≤ 0.5%。</w:t>
            </w:r>
          </w:p>
          <w:p w14:paraId="26DF25B6">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15.仪器电源续航要求：仪器内部自带电池，电池使用时间不少于5小时，仪器自带充电器充满电时间不大于5小时。</w:t>
            </w:r>
          </w:p>
          <w:p w14:paraId="492C3C8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16.安全指标要求：绝缘电阻≥20MΩ，绝缘强度≥1500V/1min，泄漏电流≤5mA。</w:t>
            </w:r>
          </w:p>
          <w:p w14:paraId="68BBF8AC">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17.体积和重量：不大于（480*350*250）mm±20%，重量不大于10kg。</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top"/>
          </w:tcPr>
          <w:p w14:paraId="0458CDA1">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台</w:t>
            </w:r>
          </w:p>
        </w:tc>
        <w:tc>
          <w:tcPr>
            <w:tcW w:w="290" w:type="pct"/>
            <w:tcBorders>
              <w:top w:val="single" w:color="000000" w:sz="4" w:space="0"/>
              <w:left w:val="single" w:color="000000" w:sz="4" w:space="0"/>
              <w:bottom w:val="single" w:color="000000" w:sz="4" w:space="0"/>
              <w:right w:val="single" w:color="000000" w:sz="4" w:space="0"/>
            </w:tcBorders>
            <w:shd w:val="clear" w:color="auto" w:fill="auto"/>
            <w:vAlign w:val="top"/>
          </w:tcPr>
          <w:p w14:paraId="7DE71B08">
            <w:pPr>
              <w:spacing w:before="120" w:after="120" w:line="288" w:lineRule="auto"/>
              <w:ind w:left="0" w:leftChars="0"/>
              <w:jc w:val="left"/>
              <w:rPr>
                <w:rFonts w:hint="default" w:ascii="仿宋" w:hAnsi="仿宋" w:eastAsia="仿宋" w:cs="宋体"/>
                <w:color w:val="auto"/>
                <w:kern w:val="0"/>
                <w:sz w:val="20"/>
                <w:szCs w:val="20"/>
                <w:highlight w:val="none"/>
                <w:lang w:val="en-US" w:eastAsia="zh-CN"/>
              </w:rPr>
            </w:pPr>
            <w:r>
              <w:rPr>
                <w:rFonts w:ascii="等线" w:hAnsi="等线" w:eastAsia="等线"/>
                <w:sz w:val="21"/>
                <w:szCs w:val="21"/>
              </w:rPr>
              <w:t>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top"/>
          </w:tcPr>
          <w:p w14:paraId="57363E2D">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top"/>
          </w:tcPr>
          <w:p w14:paraId="54CDED4C">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8A8D8F7">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E979352">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top"/>
          </w:tcPr>
          <w:p w14:paraId="5BA42E60">
            <w:pPr>
              <w:spacing w:before="120" w:after="120" w:line="288" w:lineRule="auto"/>
              <w:ind w:left="0" w:leftChars="0"/>
              <w:jc w:val="left"/>
              <w:rPr>
                <w:rFonts w:hint="eastAsia" w:ascii="宋体" w:hAnsi="宋体" w:eastAsia="宋体" w:cs="宋体"/>
                <w:i w:val="0"/>
                <w:iCs w:val="0"/>
                <w:color w:val="auto"/>
                <w:sz w:val="22"/>
                <w:szCs w:val="22"/>
                <w:highlight w:val="none"/>
                <w:u w:val="none"/>
              </w:rPr>
            </w:pPr>
            <w:r>
              <w:rPr>
                <w:rFonts w:ascii="等线" w:hAnsi="等线" w:eastAsia="等线"/>
                <w:sz w:val="21"/>
                <w:szCs w:val="21"/>
              </w:rPr>
              <w:t>食堂餐厅</w:t>
            </w:r>
          </w:p>
        </w:tc>
      </w:tr>
      <w:tr w14:paraId="1DF8E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153" w:type="pct"/>
            <w:tcBorders>
              <w:top w:val="single" w:color="000000" w:sz="4" w:space="0"/>
              <w:left w:val="single" w:color="000000" w:sz="4" w:space="0"/>
              <w:bottom w:val="single" w:color="000000" w:sz="4" w:space="0"/>
              <w:right w:val="single" w:color="000000" w:sz="4" w:space="0"/>
            </w:tcBorders>
            <w:shd w:val="clear" w:color="auto" w:fill="auto"/>
            <w:vAlign w:val="top"/>
          </w:tcPr>
          <w:p w14:paraId="68E263A9">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6</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top"/>
          </w:tcPr>
          <w:p w14:paraId="585C4EE0">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阳光公示查询终端</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top"/>
          </w:tcPr>
          <w:p w14:paraId="55C69B2E">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1、屏幕尺寸：55英寸，3840 x 2160P分辨率，LED背光；</w:t>
            </w:r>
          </w:p>
          <w:p w14:paraId="13085769">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2、CPU：ARM A55 八核；</w:t>
            </w:r>
          </w:p>
          <w:p w14:paraId="50531EBE">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3、内存：（RAM+ROM)4GB+32GB;</w:t>
            </w:r>
          </w:p>
          <w:p w14:paraId="3F552E7A">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4、内核版本：Android12;</w:t>
            </w:r>
          </w:p>
          <w:p w14:paraId="52A69516">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5、USB接口：2路外置USB2.0，2路端子USB；</w:t>
            </w:r>
          </w:p>
          <w:p w14:paraId="61DED734">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6、网络接入：1路标准RJ45有线以太网口（支持有线连接统一管理）、1路无线2.4G Wi-Fi（支持无线连接统一管理）；</w:t>
            </w:r>
          </w:p>
          <w:p w14:paraId="3E67C10F">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7、音频输出：音频1路标准3.5MM功放;</w:t>
            </w:r>
          </w:p>
          <w:p w14:paraId="47F21C4C">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8、HDMI输入：1路标准HDMI，具备视频接口；</w:t>
            </w:r>
          </w:p>
          <w:p w14:paraId="180503FB">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9、支持windows7/windows10 服务器控制,最大支持10万台设备统一管理控制；</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top"/>
          </w:tcPr>
          <w:p w14:paraId="2B7FE4A7">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台</w:t>
            </w:r>
          </w:p>
        </w:tc>
        <w:tc>
          <w:tcPr>
            <w:tcW w:w="290" w:type="pct"/>
            <w:tcBorders>
              <w:top w:val="single" w:color="000000" w:sz="4" w:space="0"/>
              <w:left w:val="single" w:color="000000" w:sz="4" w:space="0"/>
              <w:bottom w:val="single" w:color="000000" w:sz="4" w:space="0"/>
              <w:right w:val="single" w:color="000000" w:sz="4" w:space="0"/>
            </w:tcBorders>
            <w:shd w:val="clear" w:color="auto" w:fill="auto"/>
            <w:vAlign w:val="top"/>
          </w:tcPr>
          <w:p w14:paraId="7EB54C5B">
            <w:pPr>
              <w:spacing w:before="120" w:after="120" w:line="288" w:lineRule="auto"/>
              <w:ind w:left="0" w:leftChars="0"/>
              <w:jc w:val="left"/>
              <w:rPr>
                <w:rFonts w:hint="default" w:ascii="仿宋" w:hAnsi="仿宋" w:eastAsia="仿宋" w:cs="宋体"/>
                <w:color w:val="auto"/>
                <w:kern w:val="0"/>
                <w:sz w:val="20"/>
                <w:szCs w:val="20"/>
                <w:highlight w:val="none"/>
                <w:lang w:val="en-US" w:eastAsia="zh-CN"/>
              </w:rPr>
            </w:pPr>
            <w:r>
              <w:rPr>
                <w:rFonts w:ascii="等线" w:hAnsi="等线" w:eastAsia="等线"/>
                <w:sz w:val="21"/>
                <w:szCs w:val="21"/>
              </w:rPr>
              <w:t>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top"/>
          </w:tcPr>
          <w:p w14:paraId="17505648">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top"/>
          </w:tcPr>
          <w:p w14:paraId="3EE0F1C6">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B8ACA0D">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D6969E8">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top"/>
          </w:tcPr>
          <w:p w14:paraId="59127DF9">
            <w:pPr>
              <w:spacing w:before="120" w:after="120" w:line="288" w:lineRule="auto"/>
              <w:ind w:left="0" w:leftChars="0"/>
              <w:jc w:val="left"/>
              <w:rPr>
                <w:rFonts w:hint="eastAsia" w:ascii="宋体" w:hAnsi="宋体" w:eastAsia="宋体" w:cs="宋体"/>
                <w:i w:val="0"/>
                <w:iCs w:val="0"/>
                <w:color w:val="auto"/>
                <w:sz w:val="22"/>
                <w:szCs w:val="22"/>
                <w:highlight w:val="none"/>
                <w:u w:val="none"/>
              </w:rPr>
            </w:pPr>
            <w:r>
              <w:rPr>
                <w:rFonts w:ascii="等线" w:hAnsi="等线" w:eastAsia="等线"/>
                <w:sz w:val="21"/>
                <w:szCs w:val="21"/>
              </w:rPr>
              <w:t>食堂餐厅一楼立柱</w:t>
            </w:r>
          </w:p>
        </w:tc>
      </w:tr>
      <w:tr w14:paraId="108BA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153" w:type="pct"/>
            <w:tcBorders>
              <w:top w:val="single" w:color="000000" w:sz="4" w:space="0"/>
              <w:left w:val="single" w:color="000000" w:sz="4" w:space="0"/>
              <w:bottom w:val="single" w:color="000000" w:sz="4" w:space="0"/>
              <w:right w:val="single" w:color="000000" w:sz="4" w:space="0"/>
            </w:tcBorders>
            <w:shd w:val="clear" w:color="auto" w:fill="auto"/>
            <w:vAlign w:val="top"/>
          </w:tcPr>
          <w:p w14:paraId="6CBF2E0B">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7</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top"/>
          </w:tcPr>
          <w:p w14:paraId="156384B3">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食堂智能化展示终端</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top"/>
          </w:tcPr>
          <w:p w14:paraId="67073F9B">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1.像素点间距:≤1.86mm</w:t>
            </w:r>
          </w:p>
          <w:p w14:paraId="43B6178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2.像素密度：288906点/平米</w:t>
            </w:r>
          </w:p>
          <w:p w14:paraId="1C4BCAA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3.模组尺寸≥320mm×160mm。</w:t>
            </w:r>
          </w:p>
          <w:p w14:paraId="7D409842">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4.模组</w:t>
            </w:r>
            <w:r>
              <w:rPr>
                <w:rFonts w:hint="eastAsia" w:ascii="等线" w:hAnsi="等线" w:eastAsia="等线"/>
                <w:sz w:val="21"/>
                <w:szCs w:val="21"/>
                <w:lang w:eastAsia="zh-CN"/>
              </w:rPr>
              <w:t>分辨率</w:t>
            </w:r>
            <w:r>
              <w:rPr>
                <w:rFonts w:ascii="等线" w:hAnsi="等线" w:eastAsia="等线"/>
                <w:sz w:val="21"/>
                <w:szCs w:val="21"/>
              </w:rPr>
              <w:t>： 172*86</w:t>
            </w:r>
          </w:p>
          <w:p w14:paraId="2CB5D10F">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5.平整度≤0.05mm。</w:t>
            </w:r>
          </w:p>
          <w:p w14:paraId="3CC81AA9">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6.亮度≥800cd/㎡,0-100%任意可调</w:t>
            </w:r>
          </w:p>
          <w:p w14:paraId="46418C5D">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7.对比度：≥8000:1。</w:t>
            </w:r>
          </w:p>
          <w:p w14:paraId="0C6E58A6">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8.拍照等级：≥10bits。</w:t>
            </w:r>
          </w:p>
          <w:p w14:paraId="0C50ED48">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9.画面延时：≤1ms。</w:t>
            </w:r>
          </w:p>
          <w:p w14:paraId="7B8E395F">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10.可视距离：最佳可视距离1m-30m。</w:t>
            </w:r>
          </w:p>
          <w:p w14:paraId="3A57848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11.电流增益调节级别≥8位。</w:t>
            </w:r>
          </w:p>
          <w:p w14:paraId="596DA87D">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12.显示模式调节：具有显示模式调节功能。</w:t>
            </w:r>
          </w:p>
          <w:p w14:paraId="44777299">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13.使用寿命：≥200000h。</w:t>
            </w:r>
          </w:p>
          <w:p w14:paraId="72BA2944">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14.拉力测试：可承受≥5000N拉力。</w:t>
            </w:r>
          </w:p>
          <w:p w14:paraId="0BC37EB4">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15.压力测试：可承受≥45000N拉力。</w:t>
            </w:r>
          </w:p>
          <w:p w14:paraId="0B95FD7E">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16.坏点监测：具有坏点监测功能，自动告警，方便快速维护</w:t>
            </w:r>
          </w:p>
          <w:p w14:paraId="50CCAD24">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17.相对错位值：箱体间/模组间的相对错位值≤0.1mm。</w:t>
            </w:r>
          </w:p>
          <w:p w14:paraId="7432F49F">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18.产品拼缝与间隙：箱体间/模组间拼缝与间隙≤0.1mm。</w:t>
            </w:r>
          </w:p>
          <w:p w14:paraId="2CB25079">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19.采用弹针设计，采用三轴(X，Y,Z)调节 机构,可实现屏幕上下左右拼缝及前后平整度任意调节</w:t>
            </w:r>
          </w:p>
          <w:p w14:paraId="1181E432">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20.像素点失控（坏点或盲点）率：≤1/100000，无连续失控点。</w:t>
            </w:r>
          </w:p>
          <w:p w14:paraId="0C1E8FD8">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21.平均无故障测试：平均无故障使用时间≥200000h。</w:t>
            </w:r>
          </w:p>
          <w:p w14:paraId="25D82CC4">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22.功耗：共阳产品：峰值：≤450W/㎡，平均：≤140W/㎡。</w:t>
            </w:r>
          </w:p>
          <w:p w14:paraId="0A68A527">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23.对地漏电流：显示模组可承受T=60S，1500V（交流有效值）。</w:t>
            </w:r>
          </w:p>
          <w:p w14:paraId="2F7783E1">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 xml:space="preserve">24.图像旋转功能：可实现对底图或信源画面进行中心旋转，适用于特殊场景或异性屏幕拼接； </w:t>
            </w:r>
          </w:p>
          <w:p w14:paraId="44F3408C">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25.多点测温控制：具有多点测温功能，防止温度过高造成局部颜色混乱、分离，提高屏体寿命。</w:t>
            </w:r>
          </w:p>
          <w:p w14:paraId="5D6DCAB3">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26.任意分辨率点对点：支持任意非标准分辨率自适应，控制信号源输出，实现屏幕分辨率点对点显示。</w:t>
            </w:r>
          </w:p>
          <w:p w14:paraId="78C5FDA5">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27.智能信源：屏体可以支持DVI、HDMI、DP信号输入，支持自动检索、切换信号源、无需手动切换信源。</w:t>
            </w:r>
          </w:p>
          <w:p w14:paraId="6BFDCA9B">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 xml:space="preserve">28.模组智能储存：模组含智能存储电路，可以存储模组生产信息参数、运行参数等等，存储容量≥16kb； </w:t>
            </w:r>
          </w:p>
          <w:p w14:paraId="71EC8B9B">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 xml:space="preserve">29.刷新率≥3840Hz，高刷新， </w:t>
            </w:r>
          </w:p>
          <w:p w14:paraId="79AA760B">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30.可视角度：水平视角≥160°/垂直视角≥160°。</w:t>
            </w:r>
          </w:p>
          <w:p w14:paraId="6588ECAC">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31.波长与亮度误差：LED的各色光的波长误差在±2.5nm之内，LED的各色光的亮度误差在10%之内。</w:t>
            </w:r>
          </w:p>
          <w:p w14:paraId="2EE97D3E">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32.要求多层电路板沉金，同时具有独特的消隐、节能处理、EMC处理、智能模组存储处理功能电路。</w:t>
            </w:r>
          </w:p>
          <w:p w14:paraId="4BC98B08">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 xml:space="preserve">33.语音控制：屏体可以支持语音指令识别，可通过语音实现亮度调节、色温切换、场景切换、系统信息查看； </w:t>
            </w:r>
          </w:p>
          <w:p w14:paraId="02A1D7B1">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34.为了保证LED显示屏在恶劣的环境条件下能够正常使用，LED显示屏产品通过以下试验：高温存储测试、低温存储测试、低温启动测试、高温高湿工作测试、低温启动测试、低温工作测试、在5%-95%的湿度环境下正常工作；（提供检测报告）</w:t>
            </w:r>
          </w:p>
          <w:p w14:paraId="7D494D74">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35. 投标产品具有：绝缘电阻试验、耐压试验、漏电流试验、接地电阻测试、着火危险试验(UL94标准)、温升测试、传导与辐射干扰测试、抗干扰试验、静电放电抗扰度测试、冲击测试、机械强度测试、接触电流测试、电气间隙测试、爬电距离测试、跌落测试；</w:t>
            </w:r>
          </w:p>
          <w:p w14:paraId="1E513B27">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36.1-35项需提供国家权威检测机构出具的具有CNAS标志的检测报告并加盖制造商鲜章</w:t>
            </w:r>
          </w:p>
          <w:p w14:paraId="441C05E8">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38.显示屏制造商具备补偿显示装置的亮度与色度的方法，提供相关技术证明文件、网站查询截图和链接。</w:t>
            </w:r>
          </w:p>
          <w:p w14:paraId="5E56B733">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39.为保证大屏整体拼接显示效果，所供显示屏厂家具备边缘亮暗线调整技术，提供国家级证书复印件并加盖公章。</w:t>
            </w:r>
          </w:p>
          <w:p w14:paraId="22DEC334">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40.具备显示面板在不增加走线的情况下，减少扫描次数，降低显示面板的功耗的技术。提供相关证明文件、网站查询截图和链接。</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top"/>
          </w:tcPr>
          <w:p w14:paraId="676073C1">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w:t>
            </w:r>
          </w:p>
        </w:tc>
        <w:tc>
          <w:tcPr>
            <w:tcW w:w="290" w:type="pct"/>
            <w:tcBorders>
              <w:top w:val="single" w:color="000000" w:sz="4" w:space="0"/>
              <w:left w:val="single" w:color="000000" w:sz="4" w:space="0"/>
              <w:bottom w:val="single" w:color="000000" w:sz="4" w:space="0"/>
              <w:right w:val="single" w:color="000000" w:sz="4" w:space="0"/>
            </w:tcBorders>
            <w:shd w:val="clear" w:color="auto" w:fill="auto"/>
            <w:vAlign w:val="top"/>
          </w:tcPr>
          <w:p w14:paraId="6B65502C">
            <w:pPr>
              <w:spacing w:before="120" w:after="120" w:line="288" w:lineRule="auto"/>
              <w:ind w:left="0" w:leftChars="0"/>
              <w:jc w:val="left"/>
              <w:rPr>
                <w:rFonts w:hint="default" w:ascii="仿宋" w:hAnsi="仿宋" w:eastAsia="仿宋" w:cs="宋体"/>
                <w:color w:val="auto"/>
                <w:kern w:val="0"/>
                <w:sz w:val="20"/>
                <w:szCs w:val="20"/>
                <w:highlight w:val="none"/>
                <w:lang w:val="en-US" w:eastAsia="zh-CN"/>
              </w:rPr>
            </w:pPr>
            <w:r>
              <w:rPr>
                <w:rFonts w:ascii="等线" w:hAnsi="等线" w:eastAsia="等线"/>
                <w:sz w:val="21"/>
                <w:szCs w:val="21"/>
              </w:rPr>
              <w:t>4</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top"/>
          </w:tcPr>
          <w:p w14:paraId="74BA74B9">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top"/>
          </w:tcPr>
          <w:p w14:paraId="7B6583FB">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471AB42">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B92F761">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top"/>
          </w:tcPr>
          <w:p w14:paraId="13701CD5">
            <w:pPr>
              <w:spacing w:before="120" w:after="120" w:line="288" w:lineRule="auto"/>
              <w:ind w:left="0" w:leftChars="0"/>
              <w:jc w:val="left"/>
              <w:rPr>
                <w:rFonts w:hint="eastAsia" w:ascii="宋体" w:hAnsi="宋体" w:eastAsia="宋体" w:cs="宋体"/>
                <w:i w:val="0"/>
                <w:iCs w:val="0"/>
                <w:color w:val="auto"/>
                <w:sz w:val="22"/>
                <w:szCs w:val="22"/>
                <w:highlight w:val="none"/>
                <w:u w:val="none"/>
              </w:rPr>
            </w:pPr>
            <w:r>
              <w:rPr>
                <w:rFonts w:ascii="等线" w:hAnsi="等线" w:eastAsia="等线"/>
                <w:sz w:val="21"/>
                <w:szCs w:val="21"/>
              </w:rPr>
              <w:t>一楼服务中心隔壁墙面</w:t>
            </w:r>
          </w:p>
        </w:tc>
      </w:tr>
      <w:tr w14:paraId="31E67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153" w:type="pct"/>
            <w:tcBorders>
              <w:top w:val="single" w:color="000000" w:sz="4" w:space="0"/>
              <w:left w:val="single" w:color="000000" w:sz="4" w:space="0"/>
              <w:bottom w:val="single" w:color="000000" w:sz="4" w:space="0"/>
              <w:right w:val="single" w:color="000000" w:sz="4" w:space="0"/>
            </w:tcBorders>
            <w:shd w:val="clear" w:color="auto" w:fill="auto"/>
            <w:vAlign w:val="top"/>
          </w:tcPr>
          <w:p w14:paraId="2E9AD450">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8</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top"/>
          </w:tcPr>
          <w:p w14:paraId="365F6404">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阳光公示播放器</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top"/>
          </w:tcPr>
          <w:p w14:paraId="288964A8">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1.CPU:4核 64位 主频1.8GHz</w:t>
            </w:r>
          </w:p>
          <w:p w14:paraId="63204A22">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2.NPU:0.8 TOPS</w:t>
            </w:r>
          </w:p>
          <w:p w14:paraId="5D114CD1">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3.操作系统：Android 11</w:t>
            </w:r>
          </w:p>
          <w:p w14:paraId="59F5484C">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4.存储：4GB+32GB</w:t>
            </w:r>
          </w:p>
          <w:p w14:paraId="2A0AB92C">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5.解码分辨率：支持1080P，支持4K 60fps H.265/H.264视频解码1.集中远程控制：支持远程监控播放器在线状态，并实现播放内容的集中控制与分发；</w:t>
            </w:r>
          </w:p>
          <w:p w14:paraId="62708FDD">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2.多样的播放模式：支持自由更换播放模板，随意组合内容，多画面多模板内容展示，支持循环、定时等多种播放模式；</w:t>
            </w:r>
          </w:p>
          <w:p w14:paraId="0D79CB09">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3.多源数据呈现：支持直播视频、点播视频、食安溯源数据、食安咨询公告、图片资料、溯源数据定制化展示内容播放；</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top"/>
          </w:tcPr>
          <w:p w14:paraId="67385738">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台</w:t>
            </w:r>
          </w:p>
        </w:tc>
        <w:tc>
          <w:tcPr>
            <w:tcW w:w="290" w:type="pct"/>
            <w:tcBorders>
              <w:top w:val="single" w:color="000000" w:sz="4" w:space="0"/>
              <w:left w:val="single" w:color="000000" w:sz="4" w:space="0"/>
              <w:bottom w:val="single" w:color="000000" w:sz="4" w:space="0"/>
              <w:right w:val="single" w:color="000000" w:sz="4" w:space="0"/>
            </w:tcBorders>
            <w:shd w:val="clear" w:color="auto" w:fill="auto"/>
            <w:vAlign w:val="top"/>
          </w:tcPr>
          <w:p w14:paraId="3F94DA88">
            <w:pPr>
              <w:spacing w:before="120" w:after="120" w:line="288" w:lineRule="auto"/>
              <w:ind w:left="0" w:leftChars="0"/>
              <w:jc w:val="left"/>
              <w:rPr>
                <w:rFonts w:hint="default" w:ascii="仿宋" w:hAnsi="仿宋" w:eastAsia="仿宋" w:cs="宋体"/>
                <w:color w:val="auto"/>
                <w:kern w:val="0"/>
                <w:sz w:val="20"/>
                <w:szCs w:val="20"/>
                <w:highlight w:val="none"/>
                <w:lang w:val="en-US" w:eastAsia="zh-CN"/>
              </w:rPr>
            </w:pPr>
            <w:r>
              <w:rPr>
                <w:rFonts w:ascii="等线" w:hAnsi="等线" w:eastAsia="等线"/>
                <w:sz w:val="21"/>
                <w:szCs w:val="21"/>
              </w:rPr>
              <w:t>2</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top"/>
          </w:tcPr>
          <w:p w14:paraId="2A475A12">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top"/>
          </w:tcPr>
          <w:p w14:paraId="011C8996">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235569F">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8F4BEB7">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top"/>
          </w:tcPr>
          <w:p w14:paraId="58D8FBCC">
            <w:pPr>
              <w:spacing w:before="120" w:after="120" w:line="288" w:lineRule="auto"/>
              <w:ind w:left="0" w:leftChars="0"/>
              <w:jc w:val="left"/>
              <w:rPr>
                <w:rFonts w:hint="eastAsia" w:ascii="宋体" w:hAnsi="宋体" w:eastAsia="宋体" w:cs="宋体"/>
                <w:i w:val="0"/>
                <w:iCs w:val="0"/>
                <w:color w:val="auto"/>
                <w:sz w:val="22"/>
                <w:szCs w:val="22"/>
                <w:highlight w:val="none"/>
                <w:u w:val="none"/>
              </w:rPr>
            </w:pPr>
            <w:r>
              <w:rPr>
                <w:rFonts w:ascii="等线" w:hAnsi="等线" w:eastAsia="等线"/>
                <w:sz w:val="21"/>
                <w:szCs w:val="21"/>
              </w:rPr>
              <w:t>一二楼各一台食堂餐厅</w:t>
            </w:r>
          </w:p>
        </w:tc>
      </w:tr>
      <w:tr w14:paraId="248A8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153" w:type="pct"/>
            <w:tcBorders>
              <w:top w:val="single" w:color="000000" w:sz="4" w:space="0"/>
              <w:left w:val="single" w:color="000000" w:sz="4" w:space="0"/>
              <w:bottom w:val="single" w:color="000000" w:sz="4" w:space="0"/>
              <w:right w:val="single" w:color="000000" w:sz="4" w:space="0"/>
            </w:tcBorders>
            <w:shd w:val="clear" w:color="auto" w:fill="auto"/>
            <w:vAlign w:val="top"/>
          </w:tcPr>
          <w:p w14:paraId="7B9D5D25">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9</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top"/>
          </w:tcPr>
          <w:p w14:paraId="3FF1C9B0">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交换机</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top"/>
          </w:tcPr>
          <w:p w14:paraId="2A70A07E">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1.提供8个10/100/1000Mbps电口；</w:t>
            </w:r>
          </w:p>
          <w:p w14:paraId="67E05C46">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2.支持端口状态／流量查询，端口远程重启，交换机远程重启，VLAN隔离，端口隔离，环路保护，DHCP Snooping等；</w:t>
            </w:r>
          </w:p>
          <w:p w14:paraId="6FF00E5A">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3.支持EWEB/APP/MACC远程管理</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top"/>
          </w:tcPr>
          <w:p w14:paraId="05D2E4C0">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台</w:t>
            </w:r>
          </w:p>
        </w:tc>
        <w:tc>
          <w:tcPr>
            <w:tcW w:w="290" w:type="pct"/>
            <w:tcBorders>
              <w:top w:val="single" w:color="000000" w:sz="4" w:space="0"/>
              <w:left w:val="single" w:color="000000" w:sz="4" w:space="0"/>
              <w:bottom w:val="single" w:color="000000" w:sz="4" w:space="0"/>
              <w:right w:val="single" w:color="000000" w:sz="4" w:space="0"/>
            </w:tcBorders>
            <w:shd w:val="clear" w:color="auto" w:fill="auto"/>
            <w:vAlign w:val="top"/>
          </w:tcPr>
          <w:p w14:paraId="2E867731">
            <w:pPr>
              <w:spacing w:before="120" w:after="120" w:line="288" w:lineRule="auto"/>
              <w:ind w:left="0" w:leftChars="0"/>
              <w:jc w:val="left"/>
              <w:rPr>
                <w:rFonts w:hint="default" w:ascii="仿宋" w:hAnsi="仿宋" w:eastAsia="仿宋" w:cs="宋体"/>
                <w:color w:val="auto"/>
                <w:kern w:val="0"/>
                <w:sz w:val="20"/>
                <w:szCs w:val="20"/>
                <w:highlight w:val="none"/>
                <w:lang w:val="en-US" w:eastAsia="zh-CN"/>
              </w:rPr>
            </w:pPr>
            <w:r>
              <w:rPr>
                <w:rFonts w:ascii="等线" w:hAnsi="等线" w:eastAsia="等线"/>
                <w:sz w:val="21"/>
                <w:szCs w:val="21"/>
              </w:rPr>
              <w:t>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top"/>
          </w:tcPr>
          <w:p w14:paraId="1622D721">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top"/>
          </w:tcPr>
          <w:p w14:paraId="17A9CA75">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94EED09">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DD5E9AC">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top"/>
          </w:tcPr>
          <w:p w14:paraId="5D9B32D5">
            <w:pPr>
              <w:spacing w:before="120" w:after="120" w:line="288" w:lineRule="auto"/>
              <w:ind w:left="0" w:leftChars="0"/>
              <w:jc w:val="left"/>
              <w:rPr>
                <w:rFonts w:hint="eastAsia" w:ascii="宋体" w:hAnsi="宋体" w:eastAsia="宋体" w:cs="宋体"/>
                <w:i w:val="0"/>
                <w:iCs w:val="0"/>
                <w:color w:val="auto"/>
                <w:sz w:val="22"/>
                <w:szCs w:val="22"/>
                <w:highlight w:val="none"/>
                <w:u w:val="none"/>
              </w:rPr>
            </w:pPr>
            <w:r>
              <w:rPr>
                <w:rFonts w:ascii="等线" w:hAnsi="等线" w:eastAsia="等线"/>
                <w:sz w:val="21"/>
                <w:szCs w:val="21"/>
              </w:rPr>
              <w:t>机房</w:t>
            </w:r>
          </w:p>
        </w:tc>
      </w:tr>
      <w:tr w14:paraId="55750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153" w:type="pct"/>
            <w:tcBorders>
              <w:top w:val="single" w:color="000000" w:sz="4" w:space="0"/>
              <w:left w:val="single" w:color="000000" w:sz="4" w:space="0"/>
              <w:bottom w:val="single" w:color="000000" w:sz="4" w:space="0"/>
              <w:right w:val="single" w:color="000000" w:sz="4" w:space="0"/>
            </w:tcBorders>
            <w:shd w:val="clear" w:color="auto" w:fill="auto"/>
            <w:vAlign w:val="top"/>
          </w:tcPr>
          <w:p w14:paraId="5DD4A42A">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10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top"/>
          </w:tcPr>
          <w:p w14:paraId="78A929BC">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安装服务</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top"/>
          </w:tcPr>
          <w:p w14:paraId="457AEBDB">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1.组建网络、完成各设备和平台安装、连接、调试；</w:t>
            </w:r>
          </w:p>
          <w:p w14:paraId="447FC68D">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2.使用优质线材、管材、辅材，包括HDMI线、音频线、千兆网线、水晶头及护套、电源线、电源插座、多功能电源插座、各类PVC线槽等安装相关设备设施；</w:t>
            </w:r>
          </w:p>
          <w:p w14:paraId="0539EBB8">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3.通过平台、设备及相关配件设施安装调试，保证整套系统的正常运行。</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top"/>
          </w:tcPr>
          <w:p w14:paraId="721960F6">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项</w:t>
            </w:r>
          </w:p>
        </w:tc>
        <w:tc>
          <w:tcPr>
            <w:tcW w:w="290" w:type="pct"/>
            <w:tcBorders>
              <w:top w:val="single" w:color="000000" w:sz="4" w:space="0"/>
              <w:left w:val="single" w:color="000000" w:sz="4" w:space="0"/>
              <w:bottom w:val="single" w:color="000000" w:sz="4" w:space="0"/>
              <w:right w:val="single" w:color="000000" w:sz="4" w:space="0"/>
            </w:tcBorders>
            <w:shd w:val="clear" w:color="auto" w:fill="auto"/>
            <w:vAlign w:val="top"/>
          </w:tcPr>
          <w:p w14:paraId="2A3CC1A3">
            <w:pPr>
              <w:spacing w:before="120" w:after="120" w:line="288" w:lineRule="auto"/>
              <w:ind w:left="0" w:leftChars="0"/>
              <w:jc w:val="left"/>
              <w:rPr>
                <w:rFonts w:hint="default" w:ascii="仿宋" w:hAnsi="仿宋" w:eastAsia="仿宋" w:cs="宋体"/>
                <w:color w:val="auto"/>
                <w:kern w:val="0"/>
                <w:sz w:val="20"/>
                <w:szCs w:val="20"/>
                <w:highlight w:val="none"/>
                <w:lang w:val="en-US" w:eastAsia="zh-CN"/>
              </w:rPr>
            </w:pPr>
            <w:r>
              <w:rPr>
                <w:rFonts w:ascii="等线" w:hAnsi="等线" w:eastAsia="等线"/>
                <w:sz w:val="21"/>
                <w:szCs w:val="21"/>
              </w:rPr>
              <w:t>1</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top"/>
          </w:tcPr>
          <w:p w14:paraId="37BD4724">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top"/>
          </w:tcPr>
          <w:p w14:paraId="37A0D5FF">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0511701">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D69E3E9">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top"/>
          </w:tcPr>
          <w:p w14:paraId="70FAC591">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r>
      <w:tr w14:paraId="4BCE6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153" w:type="pct"/>
            <w:tcBorders>
              <w:top w:val="single" w:color="000000" w:sz="4" w:space="0"/>
              <w:left w:val="single" w:color="000000" w:sz="4" w:space="0"/>
              <w:bottom w:val="single" w:color="000000" w:sz="4" w:space="0"/>
              <w:right w:val="single" w:color="000000" w:sz="4" w:space="0"/>
            </w:tcBorders>
            <w:shd w:val="clear" w:color="auto" w:fill="auto"/>
            <w:vAlign w:val="top"/>
          </w:tcPr>
          <w:p w14:paraId="5EC3D302">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11</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top"/>
          </w:tcPr>
          <w:p w14:paraId="3306593D">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摄像头</w:t>
            </w:r>
          </w:p>
        </w:tc>
        <w:tc>
          <w:tcPr>
            <w:tcW w:w="2371" w:type="pct"/>
            <w:tcBorders>
              <w:top w:val="single" w:color="000000" w:sz="4" w:space="0"/>
              <w:left w:val="single" w:color="000000" w:sz="4" w:space="0"/>
              <w:bottom w:val="single" w:color="000000" w:sz="4" w:space="0"/>
              <w:right w:val="single" w:color="000000" w:sz="4" w:space="0"/>
            </w:tcBorders>
            <w:shd w:val="clear" w:color="auto" w:fill="auto"/>
            <w:vAlign w:val="top"/>
          </w:tcPr>
          <w:p w14:paraId="719A22D4">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left"/>
              <w:textAlignment w:val="auto"/>
              <w:rPr>
                <w:rFonts w:hint="eastAsia" w:ascii="等线" w:hAnsi="等线" w:eastAsia="等线"/>
                <w:sz w:val="21"/>
                <w:szCs w:val="21"/>
                <w:lang w:val="en-US" w:eastAsia="zh-CN"/>
              </w:rPr>
            </w:pPr>
            <w:r>
              <w:rPr>
                <w:rFonts w:ascii="等线" w:hAnsi="等线" w:eastAsia="等线"/>
                <w:sz w:val="21"/>
                <w:szCs w:val="21"/>
              </w:rPr>
              <w:t>据实配置</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top"/>
          </w:tcPr>
          <w:p w14:paraId="4E894BDB">
            <w:pPr>
              <w:spacing w:before="120" w:after="120" w:line="288" w:lineRule="auto"/>
              <w:ind w:left="0" w:leftChars="0"/>
              <w:jc w:val="left"/>
              <w:rPr>
                <w:rFonts w:hint="eastAsia" w:ascii="仿宋" w:hAnsi="仿宋" w:eastAsia="仿宋" w:cs="宋体"/>
                <w:color w:val="auto"/>
                <w:kern w:val="0"/>
                <w:sz w:val="20"/>
                <w:szCs w:val="20"/>
                <w:highlight w:val="none"/>
                <w:lang w:val="en-US" w:eastAsia="zh-CN"/>
              </w:rPr>
            </w:pPr>
            <w:r>
              <w:rPr>
                <w:rFonts w:ascii="等线" w:hAnsi="等线" w:eastAsia="等线"/>
                <w:sz w:val="21"/>
                <w:szCs w:val="21"/>
              </w:rPr>
              <w:t>台</w:t>
            </w:r>
          </w:p>
        </w:tc>
        <w:tc>
          <w:tcPr>
            <w:tcW w:w="290" w:type="pct"/>
            <w:tcBorders>
              <w:top w:val="single" w:color="000000" w:sz="4" w:space="0"/>
              <w:left w:val="single" w:color="000000" w:sz="4" w:space="0"/>
              <w:bottom w:val="single" w:color="000000" w:sz="4" w:space="0"/>
              <w:right w:val="single" w:color="000000" w:sz="4" w:space="0"/>
            </w:tcBorders>
            <w:shd w:val="clear" w:color="auto" w:fill="auto"/>
            <w:vAlign w:val="top"/>
          </w:tcPr>
          <w:p w14:paraId="1D1D2429">
            <w:pPr>
              <w:spacing w:before="120" w:after="120" w:line="288" w:lineRule="auto"/>
              <w:ind w:left="0" w:leftChars="0"/>
              <w:jc w:val="left"/>
              <w:rPr>
                <w:rFonts w:hint="default" w:ascii="仿宋" w:hAnsi="仿宋" w:eastAsia="仿宋" w:cs="宋体"/>
                <w:color w:val="auto"/>
                <w:kern w:val="0"/>
                <w:sz w:val="20"/>
                <w:szCs w:val="20"/>
                <w:highlight w:val="none"/>
                <w:lang w:val="en-US" w:eastAsia="zh-CN"/>
              </w:rPr>
            </w:pPr>
            <w:r>
              <w:rPr>
                <w:rFonts w:ascii="等线" w:hAnsi="等线" w:eastAsia="等线"/>
                <w:sz w:val="21"/>
                <w:szCs w:val="21"/>
              </w:rPr>
              <w:t>≥8</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top"/>
          </w:tcPr>
          <w:p w14:paraId="6F5DB01F">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top"/>
          </w:tcPr>
          <w:p w14:paraId="03D3CEFB">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23E72A1">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232"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4AFAF8D">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top"/>
          </w:tcPr>
          <w:p w14:paraId="7365D6DB">
            <w:pPr>
              <w:spacing w:before="120" w:after="120" w:line="288" w:lineRule="auto"/>
              <w:ind w:left="0" w:leftChars="0"/>
              <w:jc w:val="left"/>
              <w:rPr>
                <w:rFonts w:hint="eastAsia" w:ascii="宋体" w:hAnsi="宋体" w:eastAsia="宋体" w:cs="宋体"/>
                <w:i w:val="0"/>
                <w:iCs w:val="0"/>
                <w:color w:val="auto"/>
                <w:sz w:val="22"/>
                <w:szCs w:val="22"/>
                <w:highlight w:val="none"/>
                <w:u w:val="none"/>
              </w:rPr>
            </w:pPr>
          </w:p>
        </w:tc>
      </w:tr>
    </w:tbl>
    <w:p w14:paraId="1BCACFA5">
      <w:pPr>
        <w:pStyle w:val="7"/>
        <w:rPr>
          <w:rFonts w:hint="eastAsia" w:asciiTheme="minorEastAsia" w:hAnsiTheme="minorEastAsia" w:eastAsiaTheme="minorEastAsia" w:cstheme="minorEastAsia"/>
          <w:i w:val="0"/>
          <w:iCs w:val="0"/>
          <w:color w:val="auto"/>
          <w:kern w:val="0"/>
          <w:sz w:val="24"/>
          <w:szCs w:val="24"/>
          <w:highlight w:val="none"/>
          <w:u w:val="none"/>
          <w:lang w:val="en-US" w:eastAsia="zh-CN" w:bidi="ar"/>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备注：采购数量可能根据实际情况进行调整，最终以实际采购数量为准。</w:t>
      </w:r>
    </w:p>
    <w:p w14:paraId="14CCDDB9">
      <w:pPr>
        <w:spacing w:line="480" w:lineRule="exact"/>
        <w:ind w:firstLine="2800" w:firstLineChars="1000"/>
        <w:jc w:val="right"/>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报价单位</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kern w:val="2"/>
          <w:sz w:val="28"/>
          <w:szCs w:val="28"/>
          <w:highlight w:val="none"/>
        </w:rPr>
        <w:t>（全称、盖章）</w:t>
      </w:r>
    </w:p>
    <w:p w14:paraId="0EDEFF9C">
      <w:pPr>
        <w:spacing w:line="480" w:lineRule="exact"/>
        <w:jc w:val="right"/>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日期：   年   月   日</w:t>
      </w:r>
    </w:p>
    <w:sectPr>
      <w:pgSz w:w="16838" w:h="11906" w:orient="landscape"/>
      <w:pgMar w:top="1440" w:right="1440" w:bottom="1225" w:left="1440" w:header="708" w:footer="709" w:gutter="0"/>
      <w:pgNumType w:fmt="numberInDash" w:start="1"/>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0D0B9">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425753">
                          <w:pPr>
                            <w:pStyle w:val="5"/>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4425753">
                    <w:pPr>
                      <w:pStyle w:val="5"/>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yODdkOTAxZTgyOWExMjZmMDA0MWI5NTdlMTI1NzcifQ=="/>
  </w:docVars>
  <w:rsids>
    <w:rsidRoot w:val="00000000"/>
    <w:rsid w:val="001B223C"/>
    <w:rsid w:val="016959B8"/>
    <w:rsid w:val="02BD7118"/>
    <w:rsid w:val="040F1960"/>
    <w:rsid w:val="042B29CC"/>
    <w:rsid w:val="06884E18"/>
    <w:rsid w:val="06974D0A"/>
    <w:rsid w:val="0A42599C"/>
    <w:rsid w:val="0B3F66B6"/>
    <w:rsid w:val="0B681816"/>
    <w:rsid w:val="0BD56464"/>
    <w:rsid w:val="0D5C5C62"/>
    <w:rsid w:val="10574A60"/>
    <w:rsid w:val="134C478E"/>
    <w:rsid w:val="15D038D4"/>
    <w:rsid w:val="176F1D07"/>
    <w:rsid w:val="184A7FAA"/>
    <w:rsid w:val="1AD0204C"/>
    <w:rsid w:val="1AE51AE6"/>
    <w:rsid w:val="1B0167A6"/>
    <w:rsid w:val="1B923901"/>
    <w:rsid w:val="1C810F5C"/>
    <w:rsid w:val="206F2A21"/>
    <w:rsid w:val="21651D3E"/>
    <w:rsid w:val="23E1293E"/>
    <w:rsid w:val="29373FB6"/>
    <w:rsid w:val="29491A44"/>
    <w:rsid w:val="2A0B0AA8"/>
    <w:rsid w:val="31DE6AA2"/>
    <w:rsid w:val="331B1C3E"/>
    <w:rsid w:val="34301016"/>
    <w:rsid w:val="3517070D"/>
    <w:rsid w:val="35865824"/>
    <w:rsid w:val="359478C3"/>
    <w:rsid w:val="38F76E2A"/>
    <w:rsid w:val="39A6165B"/>
    <w:rsid w:val="3A7B3A28"/>
    <w:rsid w:val="3BB00433"/>
    <w:rsid w:val="3CEA208C"/>
    <w:rsid w:val="3DFD6717"/>
    <w:rsid w:val="40A44847"/>
    <w:rsid w:val="411D604A"/>
    <w:rsid w:val="421A1DBC"/>
    <w:rsid w:val="499958DB"/>
    <w:rsid w:val="4C4C0073"/>
    <w:rsid w:val="4F4345B6"/>
    <w:rsid w:val="528569F6"/>
    <w:rsid w:val="55145A25"/>
    <w:rsid w:val="59EA3696"/>
    <w:rsid w:val="5A9A53AC"/>
    <w:rsid w:val="5DE41146"/>
    <w:rsid w:val="5E5A53D0"/>
    <w:rsid w:val="60F16261"/>
    <w:rsid w:val="61EA0548"/>
    <w:rsid w:val="64482C14"/>
    <w:rsid w:val="665665FA"/>
    <w:rsid w:val="6761424C"/>
    <w:rsid w:val="6A0C4F0B"/>
    <w:rsid w:val="6BD558D2"/>
    <w:rsid w:val="6DF259E9"/>
    <w:rsid w:val="74CA5B51"/>
    <w:rsid w:val="74EF6672"/>
    <w:rsid w:val="75045F0F"/>
    <w:rsid w:val="76376F01"/>
    <w:rsid w:val="7A7A6EC4"/>
    <w:rsid w:val="7B451934"/>
    <w:rsid w:val="7BB302F8"/>
    <w:rsid w:val="7CAA61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snapToGrid/>
      <w:spacing w:after="0"/>
      <w:ind w:firstLine="420"/>
    </w:pPr>
    <w:rPr>
      <w:rFonts w:eastAsia="宋体" w:asciiTheme="minorHAnsi" w:hAnsiTheme="minorHAnsi"/>
      <w:kern w:val="2"/>
      <w:sz w:val="21"/>
    </w:rPr>
  </w:style>
  <w:style w:type="paragraph" w:styleId="3">
    <w:name w:val="Body Text"/>
    <w:basedOn w:val="1"/>
    <w:next w:val="1"/>
    <w:qFormat/>
    <w:uiPriority w:val="0"/>
    <w:pPr>
      <w:widowControl w:val="0"/>
      <w:adjustRightInd/>
      <w:snapToGrid/>
      <w:spacing w:after="0"/>
      <w:ind w:right="491"/>
      <w:jc w:val="both"/>
    </w:pPr>
    <w:rPr>
      <w:rFonts w:ascii="楷体_GB2312" w:hAnsi="Calibri"/>
      <w:kern w:val="2"/>
      <w:sz w:val="21"/>
      <w:szCs w:val="24"/>
    </w:rPr>
  </w:style>
  <w:style w:type="paragraph" w:styleId="4">
    <w:name w:val="Plain Text"/>
    <w:basedOn w:val="1"/>
    <w:qFormat/>
    <w:uiPriority w:val="0"/>
    <w:rPr>
      <w:rFonts w:ascii="宋体" w:hAnsi="Courier New"/>
    </w:rPr>
  </w:style>
  <w:style w:type="paragraph" w:styleId="5">
    <w:name w:val="footer"/>
    <w:basedOn w:val="1"/>
    <w:link w:val="14"/>
    <w:unhideWhenUsed/>
    <w:qFormat/>
    <w:uiPriority w:val="99"/>
    <w:pPr>
      <w:tabs>
        <w:tab w:val="center" w:pos="4153"/>
        <w:tab w:val="right" w:pos="8306"/>
      </w:tabs>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jc w:val="center"/>
    </w:pPr>
    <w:rPr>
      <w:sz w:val="18"/>
      <w:szCs w:val="18"/>
    </w:rPr>
  </w:style>
  <w:style w:type="paragraph" w:styleId="7">
    <w:name w:val="Body Text 2"/>
    <w:basedOn w:val="1"/>
    <w:next w:val="3"/>
    <w:semiHidden/>
    <w:unhideWhenUsed/>
    <w:qFormat/>
    <w:uiPriority w:val="99"/>
    <w:pPr>
      <w:spacing w:after="120" w:line="480" w:lineRule="auto"/>
    </w:pPr>
  </w:style>
  <w:style w:type="paragraph" w:styleId="8">
    <w:name w:val="Normal (Web)"/>
    <w:basedOn w:val="1"/>
    <w:qFormat/>
    <w:uiPriority w:val="99"/>
    <w:pPr>
      <w:jc w:val="left"/>
    </w:pPr>
    <w:rPr>
      <w:kern w:val="0"/>
      <w:sz w:val="24"/>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sz w:val="24"/>
      <w:szCs w:val="24"/>
    </w:rPr>
  </w:style>
  <w:style w:type="character" w:customStyle="1" w:styleId="13">
    <w:name w:val="页眉 Char"/>
    <w:basedOn w:val="11"/>
    <w:link w:val="6"/>
    <w:semiHidden/>
    <w:qFormat/>
    <w:uiPriority w:val="99"/>
    <w:rPr>
      <w:rFonts w:ascii="Tahoma" w:hAnsi="Tahoma"/>
      <w:sz w:val="18"/>
      <w:szCs w:val="18"/>
    </w:rPr>
  </w:style>
  <w:style w:type="character" w:customStyle="1" w:styleId="14">
    <w:name w:val="页脚 Char"/>
    <w:basedOn w:val="11"/>
    <w:link w:val="5"/>
    <w:semiHidden/>
    <w:qFormat/>
    <w:uiPriority w:val="99"/>
    <w:rPr>
      <w:rFonts w:ascii="Tahoma" w:hAnsi="Tahoma"/>
      <w:sz w:val="18"/>
      <w:szCs w:val="18"/>
    </w:rPr>
  </w:style>
  <w:style w:type="paragraph" w:customStyle="1" w:styleId="15">
    <w:name w:val="p0"/>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16">
    <w:name w:val="List Paragraph"/>
    <w:basedOn w:val="1"/>
    <w:qFormat/>
    <w:uiPriority w:val="34"/>
    <w:pPr>
      <w:ind w:firstLine="420" w:firstLineChars="200"/>
    </w:pPr>
  </w:style>
  <w:style w:type="character" w:customStyle="1" w:styleId="17">
    <w:name w:val="font41"/>
    <w:basedOn w:val="11"/>
    <w:qFormat/>
    <w:uiPriority w:val="0"/>
    <w:rPr>
      <w:rFonts w:hint="eastAsia" w:ascii="宋体" w:hAnsi="宋体" w:eastAsia="宋体" w:cs="宋体"/>
      <w:color w:val="000000"/>
      <w:sz w:val="22"/>
      <w:szCs w:val="22"/>
      <w:u w:val="none"/>
    </w:rPr>
  </w:style>
  <w:style w:type="paragraph" w:styleId="18">
    <w:name w:val="No Spacing"/>
    <w:qFormat/>
    <w:uiPriority w:val="1"/>
    <w:pPr>
      <w:widowControl w:val="0"/>
      <w:jc w:val="both"/>
    </w:pPr>
    <w:rPr>
      <w:rFonts w:ascii="Calibri" w:hAnsi="Calibri" w:eastAsia="宋体" w:cs="Times New Roman"/>
      <w:kern w:val="2"/>
      <w:sz w:val="21"/>
      <w:szCs w:val="24"/>
      <w:lang w:val="en-US" w:eastAsia="zh-CN" w:bidi="ar-SA"/>
    </w:rPr>
  </w:style>
  <w:style w:type="paragraph" w:customStyle="1" w:styleId="19">
    <w:name w:val="null3"/>
    <w:qFormat/>
    <w:uiPriority w:val="0"/>
    <w:rPr>
      <w:rFonts w:hint="eastAsia" w:ascii="Calibri" w:hAnsi="Calibri" w:eastAsia="宋体" w:cs="Times New Roman"/>
      <w:lang w:val="en-US" w:eastAsia="zh-Hans" w:bidi="ar-SA"/>
    </w:rPr>
  </w:style>
  <w:style w:type="character" w:customStyle="1" w:styleId="20">
    <w:name w:val="font31"/>
    <w:basedOn w:val="11"/>
    <w:qFormat/>
    <w:uiPriority w:val="0"/>
    <w:rPr>
      <w:rFonts w:hint="eastAsia" w:ascii="宋体" w:hAnsi="宋体" w:eastAsia="宋体" w:cs="宋体"/>
      <w:color w:val="000000"/>
      <w:sz w:val="40"/>
      <w:szCs w:val="40"/>
      <w:u w:val="none"/>
    </w:rPr>
  </w:style>
  <w:style w:type="character" w:customStyle="1" w:styleId="21">
    <w:name w:val="font11"/>
    <w:basedOn w:val="11"/>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8387</Words>
  <Characters>9189</Characters>
  <Lines>31</Lines>
  <Paragraphs>8</Paragraphs>
  <TotalTime>19</TotalTime>
  <ScaleCrop>false</ScaleCrop>
  <LinksUpToDate>false</LinksUpToDate>
  <CharactersWithSpaces>9378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2008-09-12T01:20:00Z</dcterms:created>
  <dc:creator>Administrator.YH--20190429GED</dc:creator>
  <cp:lastModifiedBy>yyang</cp:lastModifiedBy>
  <dcterms:modified xsi:type="dcterms:W3CDTF">2026-09-24T05:27:40Z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21B6BB897E6E452FB0B92BA42901B279_13</vt:lpwstr>
  </property>
  <property fmtid="{D5CDD505-2E9C-101B-9397-08002B2CF9AE}" pid="4" name="KSOTemplateDocerSaveRecord">
    <vt:lpwstr>eyJoZGlkIjoiNTQzNWJiNzhiY2E5YWZhNGMzMDNkNzEzOGI2NmM0MzQiLCJ1c2VySWQiOiIxMTMyMzkzMDU3In0=</vt:lpwstr>
  </property>
</Properties>
</file>